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789840" w14:textId="6B898E3F" w:rsidR="00F15E96" w:rsidRPr="00654869" w:rsidRDefault="000B276D" w:rsidP="00654869">
      <w:pPr>
        <w:jc w:val="center"/>
        <w:rPr>
          <w:sz w:val="28"/>
          <w:szCs w:val="28"/>
        </w:rPr>
      </w:pPr>
      <w:r w:rsidRPr="00654869">
        <w:rPr>
          <w:sz w:val="28"/>
          <w:szCs w:val="28"/>
        </w:rPr>
        <w:t>DRAFT</w:t>
      </w:r>
    </w:p>
    <w:p w14:paraId="375052C9" w14:textId="246BF73D" w:rsidR="00654869" w:rsidRDefault="00654869"/>
    <w:p w14:paraId="5CF89B53" w14:textId="77777777" w:rsidR="00654869" w:rsidRDefault="00654869"/>
    <w:p w14:paraId="340D0EF8" w14:textId="5E77C978" w:rsidR="00654869" w:rsidRPr="00140EE4" w:rsidRDefault="00654869" w:rsidP="00654869">
      <w:pPr>
        <w:spacing w:line="264" w:lineRule="auto"/>
        <w:jc w:val="both"/>
        <w:rPr>
          <w:rFonts w:ascii="Calibri Light" w:hAnsi="Calibri Light" w:cstheme="minorHAnsi"/>
          <w:b/>
        </w:rPr>
      </w:pPr>
      <w:r>
        <w:rPr>
          <w:rFonts w:ascii="Calibri Light" w:hAnsi="Calibri Light" w:cstheme="minorHAnsi"/>
          <w:b/>
          <w:noProof/>
        </w:rPr>
        <w:drawing>
          <wp:inline distT="0" distB="0" distL="0" distR="0" wp14:anchorId="7FA16651" wp14:editId="6DDF23C4">
            <wp:extent cx="1743409" cy="1415589"/>
            <wp:effectExtent l="0" t="0" r="9525"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72413" cy="1439139"/>
                    </a:xfrm>
                    <a:prstGeom prst="rect">
                      <a:avLst/>
                    </a:prstGeom>
                  </pic:spPr>
                </pic:pic>
              </a:graphicData>
            </a:graphic>
          </wp:inline>
        </w:drawing>
      </w:r>
    </w:p>
    <w:p w14:paraId="740420E6" w14:textId="77777777" w:rsidR="00654869" w:rsidRPr="00140EE4" w:rsidRDefault="00654869" w:rsidP="00654869">
      <w:pPr>
        <w:spacing w:line="264" w:lineRule="auto"/>
        <w:jc w:val="both"/>
        <w:rPr>
          <w:rFonts w:ascii="Calibri Light" w:hAnsi="Calibri Light"/>
          <w:b/>
        </w:rPr>
      </w:pPr>
    </w:p>
    <w:p w14:paraId="5D6F0B78" w14:textId="77777777" w:rsidR="00654869" w:rsidRPr="006F11BF" w:rsidRDefault="00654869" w:rsidP="00654869">
      <w:pPr>
        <w:spacing w:line="264" w:lineRule="auto"/>
        <w:jc w:val="both"/>
        <w:rPr>
          <w:b/>
        </w:rPr>
      </w:pPr>
      <w:r w:rsidRPr="006F11BF">
        <w:rPr>
          <w:b/>
        </w:rPr>
        <w:t>CONTACT:</w:t>
      </w:r>
    </w:p>
    <w:p w14:paraId="0817D470" w14:textId="77777777" w:rsidR="00654869" w:rsidRPr="006F11BF" w:rsidRDefault="00654869" w:rsidP="00654869">
      <w:pPr>
        <w:spacing w:line="264" w:lineRule="auto"/>
        <w:jc w:val="both"/>
        <w:rPr>
          <w:b/>
        </w:rPr>
      </w:pPr>
      <w:r w:rsidRPr="006F11BF">
        <w:rPr>
          <w:b/>
        </w:rPr>
        <w:t>Susana McDermott</w:t>
      </w:r>
    </w:p>
    <w:p w14:paraId="153D7800" w14:textId="77777777" w:rsidR="00654869" w:rsidRPr="006F11BF" w:rsidRDefault="00654869" w:rsidP="00654869">
      <w:pPr>
        <w:spacing w:line="264" w:lineRule="auto"/>
        <w:jc w:val="both"/>
        <w:rPr>
          <w:b/>
        </w:rPr>
      </w:pPr>
      <w:r w:rsidRPr="006F11BF">
        <w:rPr>
          <w:b/>
        </w:rPr>
        <w:t>ICCR, Director of Communications</w:t>
      </w:r>
    </w:p>
    <w:p w14:paraId="72314B06" w14:textId="77777777" w:rsidR="00654869" w:rsidRPr="006F11BF" w:rsidRDefault="00654869" w:rsidP="00654869">
      <w:pPr>
        <w:spacing w:line="264" w:lineRule="auto"/>
        <w:jc w:val="both"/>
        <w:rPr>
          <w:b/>
        </w:rPr>
      </w:pPr>
      <w:r w:rsidRPr="006F11BF">
        <w:rPr>
          <w:b/>
        </w:rPr>
        <w:t>201-417-9060</w:t>
      </w:r>
    </w:p>
    <w:p w14:paraId="460877A5" w14:textId="368F84F5" w:rsidR="00C90582" w:rsidRDefault="001F0CE0" w:rsidP="00F0117E">
      <w:pPr>
        <w:spacing w:line="264" w:lineRule="auto"/>
        <w:jc w:val="both"/>
        <w:rPr>
          <w:b/>
        </w:rPr>
      </w:pPr>
      <w:hyperlink r:id="rId11" w:history="1">
        <w:r w:rsidR="00ED56AE" w:rsidRPr="003C5123">
          <w:rPr>
            <w:rStyle w:val="Hyperlink"/>
            <w:b/>
          </w:rPr>
          <w:t>smcdermott@iccr.org</w:t>
        </w:r>
      </w:hyperlink>
    </w:p>
    <w:p w14:paraId="7961DBDF" w14:textId="1278FEAA" w:rsidR="00ED56AE" w:rsidRDefault="00ED56AE" w:rsidP="00F0117E">
      <w:pPr>
        <w:spacing w:line="264" w:lineRule="auto"/>
        <w:jc w:val="both"/>
        <w:rPr>
          <w:b/>
        </w:rPr>
      </w:pPr>
    </w:p>
    <w:p w14:paraId="07B65638" w14:textId="5A5A24E6" w:rsidR="00ED56AE" w:rsidRDefault="00082194" w:rsidP="00082194">
      <w:pPr>
        <w:spacing w:line="264" w:lineRule="auto"/>
        <w:jc w:val="center"/>
        <w:rPr>
          <w:b/>
        </w:rPr>
      </w:pPr>
      <w:r>
        <w:rPr>
          <w:b/>
        </w:rPr>
        <w:t xml:space="preserve">INVESTORS HEARTENED BY RESULTS OF 2022 CHRB ASSESSMENT INDICATING SLOW BUT STEADY PROGRESS </w:t>
      </w:r>
      <w:r w:rsidR="00E11AC1">
        <w:rPr>
          <w:b/>
        </w:rPr>
        <w:t>BY COMPANIES</w:t>
      </w:r>
      <w:r>
        <w:rPr>
          <w:b/>
        </w:rPr>
        <w:t xml:space="preserve"> ON HUMAN RIGHTS</w:t>
      </w:r>
    </w:p>
    <w:p w14:paraId="007B32A9" w14:textId="7CDA518F" w:rsidR="00082194" w:rsidRPr="00082194" w:rsidRDefault="00082194" w:rsidP="00082194">
      <w:pPr>
        <w:spacing w:line="264" w:lineRule="auto"/>
        <w:rPr>
          <w:b/>
          <w:i/>
          <w:color w:val="0563C1" w:themeColor="hyperlink"/>
          <w:u w:val="single"/>
        </w:rPr>
      </w:pPr>
      <w:r w:rsidRPr="00082194">
        <w:rPr>
          <w:b/>
          <w:i/>
        </w:rPr>
        <w:lastRenderedPageBreak/>
        <w:t xml:space="preserve">Latest scores from the Corporate Human Rights Benchmark </w:t>
      </w:r>
      <w:r w:rsidR="002E340C">
        <w:rPr>
          <w:b/>
          <w:i/>
        </w:rPr>
        <w:t xml:space="preserve">(CHRB) </w:t>
      </w:r>
      <w:r w:rsidR="00E11AC1">
        <w:rPr>
          <w:b/>
          <w:i/>
        </w:rPr>
        <w:t>tie</w:t>
      </w:r>
      <w:r w:rsidRPr="00082194">
        <w:rPr>
          <w:b/>
          <w:i/>
        </w:rPr>
        <w:t xml:space="preserve"> corporate </w:t>
      </w:r>
      <w:r>
        <w:rPr>
          <w:b/>
          <w:i/>
        </w:rPr>
        <w:t>human rights performance</w:t>
      </w:r>
      <w:r w:rsidR="00E11AC1">
        <w:rPr>
          <w:b/>
          <w:i/>
        </w:rPr>
        <w:t xml:space="preserve"> to needed </w:t>
      </w:r>
      <w:r w:rsidR="003C7352">
        <w:rPr>
          <w:b/>
          <w:i/>
        </w:rPr>
        <w:t>regulatory frameworks,</w:t>
      </w:r>
      <w:r w:rsidRPr="00082194">
        <w:rPr>
          <w:b/>
          <w:i/>
        </w:rPr>
        <w:t xml:space="preserve"> </w:t>
      </w:r>
      <w:r w:rsidR="00E11AC1">
        <w:rPr>
          <w:b/>
          <w:i/>
        </w:rPr>
        <w:t>robust board oversight,</w:t>
      </w:r>
      <w:r w:rsidRPr="00082194">
        <w:rPr>
          <w:b/>
          <w:i/>
        </w:rPr>
        <w:t xml:space="preserve"> </w:t>
      </w:r>
      <w:r>
        <w:rPr>
          <w:b/>
          <w:i/>
        </w:rPr>
        <w:t xml:space="preserve">and </w:t>
      </w:r>
      <w:r w:rsidR="00A504E8">
        <w:rPr>
          <w:b/>
          <w:i/>
        </w:rPr>
        <w:t xml:space="preserve">regular </w:t>
      </w:r>
      <w:r>
        <w:rPr>
          <w:b/>
          <w:i/>
        </w:rPr>
        <w:t>stakeholder consultation</w:t>
      </w:r>
      <w:r w:rsidRPr="00082194">
        <w:rPr>
          <w:b/>
          <w:i/>
        </w:rPr>
        <w:t>.</w:t>
      </w:r>
    </w:p>
    <w:p w14:paraId="175697E5" w14:textId="700DF817" w:rsidR="000B276D" w:rsidRPr="00082194" w:rsidRDefault="000B276D">
      <w:pPr>
        <w:rPr>
          <w:i/>
        </w:rPr>
      </w:pPr>
    </w:p>
    <w:p w14:paraId="73E3E4D1" w14:textId="02FEAFF8" w:rsidR="002E340C" w:rsidRPr="000564E1" w:rsidRDefault="00082194" w:rsidP="00FF4C49">
      <w:pPr>
        <w:spacing w:after="160" w:line="256" w:lineRule="auto"/>
        <w:jc w:val="both"/>
        <w:rPr>
          <w:bCs/>
          <w:sz w:val="22"/>
          <w:szCs w:val="22"/>
          <w:lang w:val="en-GB"/>
        </w:rPr>
      </w:pPr>
      <w:r w:rsidRPr="000564E1">
        <w:rPr>
          <w:b/>
          <w:bCs/>
          <w:sz w:val="22"/>
          <w:szCs w:val="22"/>
          <w:lang w:val="en-GB"/>
        </w:rPr>
        <w:t xml:space="preserve">NEW YORK, NY, MONDAY, NOVEMBER 21, 2022 </w:t>
      </w:r>
      <w:r w:rsidRPr="000564E1">
        <w:rPr>
          <w:bCs/>
          <w:sz w:val="22"/>
          <w:szCs w:val="22"/>
          <w:lang w:val="en-GB"/>
        </w:rPr>
        <w:t xml:space="preserve">– </w:t>
      </w:r>
      <w:r w:rsidR="004A47F0" w:rsidRPr="000564E1">
        <w:rPr>
          <w:bCs/>
          <w:sz w:val="22"/>
          <w:szCs w:val="22"/>
          <w:lang w:val="en-GB"/>
        </w:rPr>
        <w:t>T</w:t>
      </w:r>
      <w:r w:rsidRPr="000564E1">
        <w:rPr>
          <w:bCs/>
          <w:sz w:val="22"/>
          <w:szCs w:val="22"/>
          <w:lang w:val="en-GB"/>
        </w:rPr>
        <w:t xml:space="preserve">he Investor Alliance </w:t>
      </w:r>
      <w:r w:rsidRPr="000564E1">
        <w:rPr>
          <w:bCs/>
          <w:sz w:val="22"/>
          <w:szCs w:val="22"/>
          <w:lang w:val="en-GB"/>
        </w:rPr>
        <w:t xml:space="preserve">for Human Rights welcomed today’s release of the </w:t>
      </w:r>
      <w:hyperlink r:id="rId12" w:history="1">
        <w:r w:rsidRPr="007C0EF5">
          <w:rPr>
            <w:rStyle w:val="Hyperlink"/>
            <w:bCs/>
            <w:sz w:val="22"/>
            <w:szCs w:val="22"/>
            <w:lang w:val="en-GB"/>
          </w:rPr>
          <w:t>2022</w:t>
        </w:r>
        <w:r w:rsidR="002E340C" w:rsidRPr="007C0EF5">
          <w:rPr>
            <w:rStyle w:val="Hyperlink"/>
            <w:bCs/>
            <w:sz w:val="22"/>
            <w:szCs w:val="22"/>
            <w:lang w:val="en-GB"/>
          </w:rPr>
          <w:t xml:space="preserve"> Corporate Human Rights Benchmark</w:t>
        </w:r>
      </w:hyperlink>
      <w:r w:rsidR="002E340C" w:rsidRPr="000564E1">
        <w:rPr>
          <w:bCs/>
          <w:sz w:val="22"/>
          <w:szCs w:val="22"/>
          <w:lang w:val="en-GB"/>
        </w:rPr>
        <w:t xml:space="preserve"> which showed</w:t>
      </w:r>
      <w:r w:rsidR="00CC7A44" w:rsidRPr="000564E1">
        <w:rPr>
          <w:b/>
          <w:bCs/>
          <w:sz w:val="22"/>
          <w:szCs w:val="22"/>
          <w:lang w:val="en-GB"/>
        </w:rPr>
        <w:t xml:space="preserve"> </w:t>
      </w:r>
      <w:r w:rsidR="002E340C" w:rsidRPr="000564E1">
        <w:rPr>
          <w:bCs/>
          <w:sz w:val="22"/>
          <w:szCs w:val="22"/>
          <w:lang w:val="en-GB"/>
        </w:rPr>
        <w:t xml:space="preserve">improved scores </w:t>
      </w:r>
      <w:r w:rsidR="00CC7A44" w:rsidRPr="000564E1">
        <w:rPr>
          <w:bCs/>
          <w:sz w:val="22"/>
          <w:szCs w:val="22"/>
          <w:lang w:val="en-GB"/>
        </w:rPr>
        <w:t>by</w:t>
      </w:r>
      <w:r w:rsidR="002E340C" w:rsidRPr="000564E1">
        <w:rPr>
          <w:bCs/>
          <w:sz w:val="22"/>
          <w:szCs w:val="22"/>
          <w:lang w:val="en-GB"/>
        </w:rPr>
        <w:t xml:space="preserve"> </w:t>
      </w:r>
      <w:r w:rsidR="003C7352" w:rsidRPr="000564E1">
        <w:rPr>
          <w:bCs/>
          <w:sz w:val="22"/>
          <w:szCs w:val="22"/>
          <w:lang w:val="en-GB"/>
        </w:rPr>
        <w:t xml:space="preserve">several </w:t>
      </w:r>
      <w:r w:rsidR="002E340C" w:rsidRPr="000564E1">
        <w:rPr>
          <w:bCs/>
          <w:sz w:val="22"/>
          <w:szCs w:val="22"/>
          <w:lang w:val="en-GB"/>
        </w:rPr>
        <w:t>companies in spite of methodology changes that raised the bar in terms of requirements.</w:t>
      </w:r>
    </w:p>
    <w:p w14:paraId="5DDC25B3" w14:textId="3F38F7D9" w:rsidR="002E340C" w:rsidRPr="000564E1" w:rsidRDefault="002E340C" w:rsidP="00FF4C49">
      <w:pPr>
        <w:spacing w:after="160" w:line="256" w:lineRule="auto"/>
        <w:jc w:val="both"/>
        <w:rPr>
          <w:rFonts w:cstheme="minorHAnsi"/>
          <w:color w:val="000000"/>
          <w:sz w:val="22"/>
          <w:szCs w:val="22"/>
          <w:shd w:val="clear" w:color="auto" w:fill="FFFFFF"/>
        </w:rPr>
      </w:pPr>
      <w:r w:rsidRPr="000564E1">
        <w:rPr>
          <w:rFonts w:cstheme="minorHAnsi"/>
          <w:bCs/>
          <w:sz w:val="22"/>
          <w:szCs w:val="22"/>
          <w:lang w:val="en-GB"/>
        </w:rPr>
        <w:t>Now in its fifth year, the CHRB</w:t>
      </w:r>
      <w:r w:rsidR="00CC7A44" w:rsidRPr="000564E1">
        <w:rPr>
          <w:rFonts w:cstheme="minorHAnsi"/>
          <w:bCs/>
          <w:sz w:val="22"/>
          <w:szCs w:val="22"/>
          <w:lang w:val="en-GB"/>
        </w:rPr>
        <w:t>, an initiative of the World Benchmarking Alliance (WBA)</w:t>
      </w:r>
      <w:r w:rsidRPr="000564E1">
        <w:rPr>
          <w:rFonts w:cstheme="minorHAnsi"/>
          <w:color w:val="000000"/>
          <w:sz w:val="22"/>
          <w:szCs w:val="22"/>
          <w:shd w:val="clear" w:color="auto" w:fill="FFFFFF"/>
        </w:rPr>
        <w:t xml:space="preserve"> assesses companies on a set of </w:t>
      </w:r>
      <w:hyperlink r:id="rId13" w:history="1">
        <w:r w:rsidRPr="000564E1">
          <w:rPr>
            <w:rStyle w:val="Hyperlink"/>
            <w:rFonts w:cstheme="minorHAnsi"/>
            <w:sz w:val="22"/>
            <w:szCs w:val="22"/>
            <w:shd w:val="clear" w:color="auto" w:fill="FFFFFF"/>
          </w:rPr>
          <w:t>human rights indicators</w:t>
        </w:r>
      </w:hyperlink>
      <w:r w:rsidR="00A9465C" w:rsidRPr="000564E1">
        <w:rPr>
          <w:rFonts w:cstheme="minorHAnsi"/>
          <w:color w:val="000000"/>
          <w:sz w:val="22"/>
          <w:szCs w:val="22"/>
          <w:shd w:val="clear" w:color="auto" w:fill="FFFFFF"/>
        </w:rPr>
        <w:t xml:space="preserve"> in five </w:t>
      </w:r>
      <w:r w:rsidR="00863F38" w:rsidRPr="000564E1">
        <w:rPr>
          <w:rFonts w:cstheme="minorHAnsi"/>
          <w:color w:val="000000"/>
          <w:sz w:val="22"/>
          <w:szCs w:val="22"/>
          <w:shd w:val="clear" w:color="auto" w:fill="FFFFFF"/>
        </w:rPr>
        <w:t>areas measuring overall human rights</w:t>
      </w:r>
      <w:r w:rsidR="007C0EF5">
        <w:rPr>
          <w:rFonts w:cstheme="minorHAnsi"/>
          <w:color w:val="000000"/>
          <w:sz w:val="22"/>
          <w:szCs w:val="22"/>
          <w:shd w:val="clear" w:color="auto" w:fill="FFFFFF"/>
        </w:rPr>
        <w:t xml:space="preserve"> performance. The indicators are derived</w:t>
      </w:r>
      <w:r w:rsidR="00863F38" w:rsidRPr="000564E1">
        <w:rPr>
          <w:rFonts w:cstheme="minorHAnsi"/>
          <w:color w:val="000000"/>
          <w:sz w:val="22"/>
          <w:szCs w:val="22"/>
          <w:shd w:val="clear" w:color="auto" w:fill="FFFFFF"/>
        </w:rPr>
        <w:t xml:space="preserve"> from</w:t>
      </w:r>
      <w:r w:rsidRPr="000564E1">
        <w:rPr>
          <w:rFonts w:cstheme="minorHAnsi"/>
          <w:color w:val="000000"/>
          <w:sz w:val="22"/>
          <w:szCs w:val="22"/>
          <w:shd w:val="clear" w:color="auto" w:fill="FFFFFF"/>
        </w:rPr>
        <w:t xml:space="preserve"> the </w:t>
      </w:r>
      <w:hyperlink r:id="rId14" w:history="1">
        <w:r w:rsidRPr="000564E1">
          <w:rPr>
            <w:rFonts w:cstheme="minorHAnsi"/>
            <w:b/>
            <w:bCs/>
            <w:color w:val="0070C0"/>
            <w:sz w:val="22"/>
            <w:szCs w:val="22"/>
            <w:u w:val="single"/>
            <w:shd w:val="clear" w:color="auto" w:fill="FFFFFF"/>
          </w:rPr>
          <w:t>UN Guiding Principles on Business and Human Rights</w:t>
        </w:r>
      </w:hyperlink>
      <w:r w:rsidRPr="000564E1">
        <w:rPr>
          <w:rFonts w:cstheme="minorHAnsi"/>
          <w:color w:val="000000"/>
          <w:sz w:val="22"/>
          <w:szCs w:val="22"/>
          <w:shd w:val="clear" w:color="auto" w:fill="FFFFFF"/>
        </w:rPr>
        <w:t> and the </w:t>
      </w:r>
      <w:r w:rsidRPr="000564E1">
        <w:rPr>
          <w:rFonts w:cstheme="minorHAnsi"/>
          <w:b/>
          <w:bCs/>
          <w:color w:val="0070C0"/>
          <w:sz w:val="22"/>
          <w:szCs w:val="22"/>
          <w:u w:val="single"/>
          <w:shd w:val="clear" w:color="auto" w:fill="FFFFFF"/>
        </w:rPr>
        <w:t>OECD Due Diligence Guidance for Responsible Business Conduct</w:t>
      </w:r>
      <w:r w:rsidRPr="000564E1">
        <w:rPr>
          <w:rFonts w:cstheme="minorHAnsi"/>
          <w:color w:val="000000"/>
          <w:sz w:val="22"/>
          <w:szCs w:val="22"/>
          <w:shd w:val="clear" w:color="auto" w:fill="FFFFFF"/>
        </w:rPr>
        <w:t> considered the leading global standards for best-practice corporate human rights performance.</w:t>
      </w:r>
    </w:p>
    <w:p w14:paraId="2B843A2F" w14:textId="4F466039" w:rsidR="002E340C" w:rsidRPr="000564E1" w:rsidRDefault="00A0376D" w:rsidP="00FF4C49">
      <w:pPr>
        <w:spacing w:after="160" w:line="256" w:lineRule="auto"/>
        <w:jc w:val="both"/>
        <w:rPr>
          <w:color w:val="000000"/>
          <w:sz w:val="22"/>
          <w:szCs w:val="22"/>
          <w:shd w:val="clear" w:color="auto" w:fill="FFFFFF"/>
        </w:rPr>
      </w:pPr>
      <w:r w:rsidRPr="000564E1">
        <w:rPr>
          <w:color w:val="000000"/>
          <w:sz w:val="22"/>
          <w:szCs w:val="22"/>
          <w:shd w:val="clear" w:color="auto" w:fill="FFFFFF"/>
        </w:rPr>
        <w:lastRenderedPageBreak/>
        <w:t>The assessment measured 127 companies across the</w:t>
      </w:r>
      <w:r w:rsidR="251CA227" w:rsidRPr="000564E1">
        <w:rPr>
          <w:color w:val="000000"/>
          <w:sz w:val="22"/>
          <w:szCs w:val="22"/>
          <w:shd w:val="clear" w:color="auto" w:fill="FFFFFF"/>
        </w:rPr>
        <w:t xml:space="preserve"> food and</w:t>
      </w:r>
      <w:r w:rsidR="002E340C" w:rsidRPr="000564E1">
        <w:rPr>
          <w:color w:val="000000"/>
          <w:sz w:val="22"/>
          <w:szCs w:val="22"/>
          <w:shd w:val="clear" w:color="auto" w:fill="FFFFFF"/>
        </w:rPr>
        <w:t xml:space="preserve"> agricultural products, ICT manufacturing</w:t>
      </w:r>
      <w:r w:rsidR="00730E2A" w:rsidRPr="000564E1">
        <w:rPr>
          <w:color w:val="000000" w:themeColor="text1"/>
          <w:sz w:val="22"/>
          <w:szCs w:val="22"/>
        </w:rPr>
        <w:t>,</w:t>
      </w:r>
      <w:r w:rsidR="002E340C" w:rsidRPr="000564E1">
        <w:rPr>
          <w:color w:val="000000"/>
          <w:sz w:val="22"/>
          <w:szCs w:val="22"/>
          <w:shd w:val="clear" w:color="auto" w:fill="FFFFFF"/>
        </w:rPr>
        <w:t xml:space="preserve"> and automotive manufacturing</w:t>
      </w:r>
      <w:r w:rsidRPr="000564E1">
        <w:rPr>
          <w:color w:val="000000"/>
          <w:sz w:val="22"/>
          <w:szCs w:val="22"/>
          <w:shd w:val="clear" w:color="auto" w:fill="FFFFFF"/>
        </w:rPr>
        <w:t xml:space="preserve"> sectors</w:t>
      </w:r>
      <w:r w:rsidR="001F0CE0">
        <w:rPr>
          <w:color w:val="000000"/>
          <w:sz w:val="22"/>
          <w:szCs w:val="22"/>
          <w:shd w:val="clear" w:color="auto" w:fill="FFFFFF"/>
        </w:rPr>
        <w:t>.</w:t>
      </w:r>
    </w:p>
    <w:p w14:paraId="396D6FD6" w14:textId="3B935E34" w:rsidR="00A504E8" w:rsidRPr="000564E1" w:rsidRDefault="00A0376D" w:rsidP="00FF4C49">
      <w:pPr>
        <w:spacing w:after="160" w:line="256" w:lineRule="auto"/>
        <w:jc w:val="both"/>
        <w:rPr>
          <w:rFonts w:eastAsia="Segoe UI" w:cs="Segoe UI"/>
          <w:color w:val="211D1E"/>
          <w:sz w:val="22"/>
          <w:szCs w:val="22"/>
        </w:rPr>
      </w:pPr>
      <w:r w:rsidRPr="000564E1">
        <w:rPr>
          <w:color w:val="000000"/>
          <w:sz w:val="22"/>
          <w:szCs w:val="22"/>
          <w:shd w:val="clear" w:color="auto" w:fill="FFFFFF"/>
        </w:rPr>
        <w:t>In the last</w:t>
      </w:r>
      <w:r w:rsidR="002E340C" w:rsidRPr="000564E1">
        <w:rPr>
          <w:color w:val="000000"/>
          <w:sz w:val="22"/>
          <w:szCs w:val="22"/>
          <w:shd w:val="clear" w:color="auto" w:fill="FFFFFF"/>
        </w:rPr>
        <w:t> </w:t>
      </w:r>
      <w:hyperlink r:id="rId15" w:history="1">
        <w:r w:rsidR="002E340C" w:rsidRPr="000564E1">
          <w:rPr>
            <w:rStyle w:val="Hyperlink"/>
            <w:b/>
            <w:bCs/>
            <w:color w:val="0070C0"/>
            <w:sz w:val="22"/>
            <w:szCs w:val="22"/>
            <w:shd w:val="clear" w:color="auto" w:fill="FFFFFF"/>
          </w:rPr>
          <w:t>CHRB ranking</w:t>
        </w:r>
        <w:r w:rsidRPr="000564E1">
          <w:rPr>
            <w:rStyle w:val="Hyperlink"/>
            <w:b/>
            <w:bCs/>
            <w:color w:val="0070C0"/>
            <w:sz w:val="22"/>
            <w:szCs w:val="22"/>
            <w:shd w:val="clear" w:color="auto" w:fill="FFFFFF"/>
          </w:rPr>
          <w:t xml:space="preserve"> in 2020</w:t>
        </w:r>
        <w:r w:rsidR="002E340C" w:rsidRPr="000564E1">
          <w:rPr>
            <w:rStyle w:val="Hyperlink"/>
            <w:b/>
            <w:bCs/>
            <w:color w:val="0070C0"/>
            <w:sz w:val="22"/>
            <w:szCs w:val="22"/>
            <w:shd w:val="clear" w:color="auto" w:fill="FFFFFF"/>
          </w:rPr>
          <w:t>,</w:t>
        </w:r>
      </w:hyperlink>
      <w:r w:rsidRPr="000564E1">
        <w:rPr>
          <w:color w:val="0070C0"/>
          <w:sz w:val="22"/>
          <w:szCs w:val="22"/>
          <w:shd w:val="clear" w:color="auto" w:fill="FFFFFF"/>
        </w:rPr>
        <w:t> </w:t>
      </w:r>
      <w:r w:rsidR="002E340C" w:rsidRPr="000564E1">
        <w:rPr>
          <w:color w:val="000000"/>
          <w:sz w:val="22"/>
          <w:szCs w:val="22"/>
          <w:shd w:val="clear" w:color="auto" w:fill="FFFFFF"/>
        </w:rPr>
        <w:t>nearly half of</w:t>
      </w:r>
      <w:r w:rsidRPr="000564E1">
        <w:rPr>
          <w:color w:val="000000"/>
          <w:sz w:val="22"/>
          <w:szCs w:val="22"/>
          <w:shd w:val="clear" w:color="auto" w:fill="FFFFFF"/>
        </w:rPr>
        <w:t xml:space="preserve"> the companies </w:t>
      </w:r>
      <w:r w:rsidR="002E340C" w:rsidRPr="000564E1">
        <w:rPr>
          <w:color w:val="000000"/>
          <w:sz w:val="22"/>
          <w:szCs w:val="22"/>
          <w:shd w:val="clear" w:color="auto" w:fill="FFFFFF"/>
        </w:rPr>
        <w:t>scored zero on all five</w:t>
      </w:r>
      <w:r w:rsidR="00425335" w:rsidRPr="000564E1">
        <w:rPr>
          <w:color w:val="000000" w:themeColor="text1"/>
          <w:sz w:val="22"/>
          <w:szCs w:val="22"/>
        </w:rPr>
        <w:t xml:space="preserve"> human rights due diligence</w:t>
      </w:r>
      <w:r w:rsidR="004A6F9C" w:rsidRPr="000564E1">
        <w:rPr>
          <w:color w:val="000000" w:themeColor="text1"/>
          <w:sz w:val="22"/>
          <w:szCs w:val="22"/>
        </w:rPr>
        <w:t>-related</w:t>
      </w:r>
      <w:r w:rsidR="002E340C" w:rsidRPr="000564E1">
        <w:rPr>
          <w:color w:val="000000"/>
          <w:sz w:val="22"/>
          <w:szCs w:val="22"/>
          <w:shd w:val="clear" w:color="auto" w:fill="FFFFFF"/>
        </w:rPr>
        <w:t xml:space="preserve"> indicators, a strong indictment of their human rights performance.</w:t>
      </w:r>
      <w:r w:rsidR="00CC7A44" w:rsidRPr="000564E1">
        <w:rPr>
          <w:sz w:val="22"/>
          <w:szCs w:val="22"/>
          <w:lang w:val="en-GB"/>
        </w:rPr>
        <w:t xml:space="preserve"> </w:t>
      </w:r>
      <w:r w:rsidR="00CC7A44" w:rsidRPr="000564E1">
        <w:rPr>
          <w:sz w:val="22"/>
          <w:szCs w:val="22"/>
        </w:rPr>
        <w:t>Two years later and d</w:t>
      </w:r>
      <w:r w:rsidR="006B4C7C" w:rsidRPr="000564E1">
        <w:rPr>
          <w:sz w:val="22"/>
          <w:szCs w:val="22"/>
        </w:rPr>
        <w:t>espite methodology changes that raised th</w:t>
      </w:r>
      <w:r w:rsidR="00CC7A44" w:rsidRPr="000564E1">
        <w:rPr>
          <w:sz w:val="22"/>
          <w:szCs w:val="22"/>
        </w:rPr>
        <w:t xml:space="preserve">e bar, </w:t>
      </w:r>
      <w:r w:rsidR="006B4C7C" w:rsidRPr="000564E1">
        <w:rPr>
          <w:sz w:val="22"/>
          <w:szCs w:val="22"/>
        </w:rPr>
        <w:t xml:space="preserve">66% of food and agricultural products companies, 65% of ICT companies, and </w:t>
      </w:r>
      <w:r w:rsidR="00CC7A44" w:rsidRPr="000564E1">
        <w:rPr>
          <w:sz w:val="22"/>
          <w:szCs w:val="22"/>
        </w:rPr>
        <w:t>57% of automotive companies</w:t>
      </w:r>
      <w:r w:rsidR="006B4C7C" w:rsidRPr="000564E1">
        <w:rPr>
          <w:sz w:val="22"/>
          <w:szCs w:val="22"/>
        </w:rPr>
        <w:t xml:space="preserve"> improved their scores on </w:t>
      </w:r>
      <w:r w:rsidR="3D8DECAA" w:rsidRPr="000564E1">
        <w:rPr>
          <w:sz w:val="22"/>
          <w:szCs w:val="22"/>
        </w:rPr>
        <w:t>key</w:t>
      </w:r>
      <w:r w:rsidR="00EB04B6" w:rsidRPr="000564E1">
        <w:rPr>
          <w:sz w:val="22"/>
          <w:szCs w:val="22"/>
        </w:rPr>
        <w:t xml:space="preserve"> human rights</w:t>
      </w:r>
      <w:r w:rsidR="006B4C7C" w:rsidRPr="000564E1">
        <w:rPr>
          <w:sz w:val="22"/>
          <w:szCs w:val="22"/>
        </w:rPr>
        <w:t xml:space="preserve"> indicators</w:t>
      </w:r>
      <w:r w:rsidR="0637BA51" w:rsidRPr="000564E1">
        <w:rPr>
          <w:sz w:val="22"/>
          <w:szCs w:val="22"/>
        </w:rPr>
        <w:t xml:space="preserve"> such as </w:t>
      </w:r>
      <w:r w:rsidR="0637BA51" w:rsidRPr="000564E1">
        <w:rPr>
          <w:rFonts w:eastAsia="Segoe UI" w:cs="Segoe UI"/>
          <w:color w:val="211D1E"/>
          <w:sz w:val="22"/>
          <w:szCs w:val="22"/>
        </w:rPr>
        <w:t>commitments to human ri</w:t>
      </w:r>
      <w:r w:rsidR="00A504E8" w:rsidRPr="000564E1">
        <w:rPr>
          <w:rFonts w:eastAsia="Segoe UI" w:cs="Segoe UI"/>
          <w:color w:val="211D1E"/>
          <w:sz w:val="22"/>
          <w:szCs w:val="22"/>
        </w:rPr>
        <w:t xml:space="preserve">ghts, </w:t>
      </w:r>
      <w:r w:rsidR="0637BA51" w:rsidRPr="000564E1">
        <w:rPr>
          <w:rFonts w:eastAsia="Segoe UI" w:cs="Segoe UI"/>
          <w:color w:val="211D1E"/>
          <w:sz w:val="22"/>
          <w:szCs w:val="22"/>
        </w:rPr>
        <w:t>the first steps of an HRDD process</w:t>
      </w:r>
      <w:r w:rsidR="001F0CE0">
        <w:rPr>
          <w:rFonts w:eastAsia="Segoe UI" w:cs="Segoe UI"/>
          <w:color w:val="211D1E"/>
          <w:sz w:val="22"/>
          <w:szCs w:val="22"/>
        </w:rPr>
        <w:t>,</w:t>
      </w:r>
      <w:r w:rsidR="0637BA51" w:rsidRPr="000564E1">
        <w:rPr>
          <w:rFonts w:eastAsia="Segoe UI" w:cs="Segoe UI"/>
          <w:color w:val="211D1E"/>
          <w:sz w:val="22"/>
          <w:szCs w:val="22"/>
        </w:rPr>
        <w:t xml:space="preserve"> and</w:t>
      </w:r>
      <w:r w:rsidR="00A504E8" w:rsidRPr="000564E1">
        <w:rPr>
          <w:rFonts w:eastAsia="Segoe UI" w:cs="Segoe UI"/>
          <w:color w:val="211D1E"/>
          <w:sz w:val="22"/>
          <w:szCs w:val="22"/>
        </w:rPr>
        <w:t xml:space="preserve"> </w:t>
      </w:r>
      <w:r w:rsidR="0637BA51" w:rsidRPr="000564E1">
        <w:rPr>
          <w:rFonts w:eastAsia="Segoe UI" w:cs="Segoe UI"/>
          <w:color w:val="211D1E"/>
          <w:sz w:val="22"/>
          <w:szCs w:val="22"/>
        </w:rPr>
        <w:t>establishing grievance mechanisms for workers and external individuals</w:t>
      </w:r>
      <w:r w:rsidR="00A504E8" w:rsidRPr="000564E1">
        <w:rPr>
          <w:rFonts w:eastAsia="Segoe UI" w:cs="Segoe UI"/>
          <w:color w:val="211D1E"/>
          <w:sz w:val="22"/>
          <w:szCs w:val="22"/>
        </w:rPr>
        <w:t>.</w:t>
      </w:r>
    </w:p>
    <w:p w14:paraId="75336B08" w14:textId="65A077B7" w:rsidR="006B4C7C" w:rsidRPr="000564E1" w:rsidRDefault="00A504E8" w:rsidP="00FF4C49">
      <w:pPr>
        <w:spacing w:after="160" w:line="256" w:lineRule="auto"/>
        <w:jc w:val="both"/>
        <w:rPr>
          <w:sz w:val="22"/>
          <w:szCs w:val="22"/>
        </w:rPr>
      </w:pPr>
      <w:r w:rsidRPr="000564E1">
        <w:rPr>
          <w:sz w:val="22"/>
          <w:szCs w:val="22"/>
        </w:rPr>
        <w:t>While investors view this</w:t>
      </w:r>
      <w:r w:rsidR="006B4C7C" w:rsidRPr="000564E1">
        <w:rPr>
          <w:sz w:val="22"/>
          <w:szCs w:val="22"/>
        </w:rPr>
        <w:t xml:space="preserve"> a</w:t>
      </w:r>
      <w:r w:rsidRPr="000564E1">
        <w:rPr>
          <w:sz w:val="22"/>
          <w:szCs w:val="22"/>
        </w:rPr>
        <w:t>s evidence</w:t>
      </w:r>
      <w:r w:rsidR="00CC7A44" w:rsidRPr="000564E1">
        <w:rPr>
          <w:sz w:val="22"/>
          <w:szCs w:val="22"/>
        </w:rPr>
        <w:t xml:space="preserve"> of building </w:t>
      </w:r>
      <w:r w:rsidR="006B4C7C" w:rsidRPr="000564E1">
        <w:rPr>
          <w:sz w:val="22"/>
          <w:szCs w:val="22"/>
        </w:rPr>
        <w:t>momentum for corp</w:t>
      </w:r>
      <w:r w:rsidR="002817CF" w:rsidRPr="000564E1">
        <w:rPr>
          <w:sz w:val="22"/>
          <w:szCs w:val="22"/>
        </w:rPr>
        <w:t>orate respect for human rights</w:t>
      </w:r>
      <w:r w:rsidR="000564E1">
        <w:rPr>
          <w:sz w:val="22"/>
          <w:szCs w:val="22"/>
        </w:rPr>
        <w:t>,</w:t>
      </w:r>
      <w:r w:rsidR="002817CF" w:rsidRPr="000564E1">
        <w:rPr>
          <w:sz w:val="22"/>
          <w:szCs w:val="22"/>
        </w:rPr>
        <w:t xml:space="preserve"> th</w:t>
      </w:r>
      <w:r w:rsidR="002817CF" w:rsidRPr="000564E1">
        <w:rPr>
          <w:sz w:val="22"/>
          <w:szCs w:val="22"/>
        </w:rPr>
        <w:t>e da</w:t>
      </w:r>
      <w:r w:rsidR="001F0CE0">
        <w:rPr>
          <w:sz w:val="22"/>
          <w:szCs w:val="22"/>
        </w:rPr>
        <w:t>ta that more progress is needed.</w:t>
      </w:r>
      <w:bookmarkStart w:id="0" w:name="_GoBack"/>
      <w:bookmarkEnd w:id="0"/>
      <w:r w:rsidR="002817CF" w:rsidRPr="000564E1">
        <w:rPr>
          <w:sz w:val="22"/>
          <w:szCs w:val="22"/>
        </w:rPr>
        <w:t xml:space="preserve"> </w:t>
      </w:r>
      <w:r w:rsidR="002817CF" w:rsidRPr="000564E1">
        <w:rPr>
          <w:sz w:val="22"/>
          <w:szCs w:val="22"/>
        </w:rPr>
        <w:t>O</w:t>
      </w:r>
      <w:r w:rsidR="00572572" w:rsidRPr="000564E1">
        <w:rPr>
          <w:sz w:val="22"/>
          <w:szCs w:val="22"/>
        </w:rPr>
        <w:t xml:space="preserve">f the 58 </w:t>
      </w:r>
      <w:r w:rsidR="00914C41" w:rsidRPr="000564E1">
        <w:rPr>
          <w:sz w:val="22"/>
          <w:szCs w:val="22"/>
        </w:rPr>
        <w:t>companies</w:t>
      </w:r>
      <w:r w:rsidR="00572572" w:rsidRPr="000564E1">
        <w:rPr>
          <w:sz w:val="22"/>
          <w:szCs w:val="22"/>
        </w:rPr>
        <w:t xml:space="preserve"> </w:t>
      </w:r>
      <w:r w:rsidR="000C60ED" w:rsidRPr="000564E1">
        <w:rPr>
          <w:sz w:val="22"/>
          <w:szCs w:val="22"/>
        </w:rPr>
        <w:t xml:space="preserve">in these three sectors </w:t>
      </w:r>
      <w:r w:rsidR="00572572" w:rsidRPr="000564E1">
        <w:rPr>
          <w:sz w:val="22"/>
          <w:szCs w:val="22"/>
        </w:rPr>
        <w:t>that scored zero on due diligence indicators</w:t>
      </w:r>
      <w:r w:rsidR="00271F89" w:rsidRPr="000564E1">
        <w:rPr>
          <w:sz w:val="22"/>
          <w:szCs w:val="22"/>
        </w:rPr>
        <w:t xml:space="preserve"> in 2020</w:t>
      </w:r>
      <w:r w:rsidR="00914C41" w:rsidRPr="000564E1">
        <w:rPr>
          <w:sz w:val="22"/>
          <w:szCs w:val="22"/>
        </w:rPr>
        <w:t>, only 12 have improved</w:t>
      </w:r>
      <w:r w:rsidR="00930FA3" w:rsidRPr="000564E1">
        <w:rPr>
          <w:sz w:val="22"/>
          <w:szCs w:val="22"/>
        </w:rPr>
        <w:t xml:space="preserve"> </w:t>
      </w:r>
      <w:r w:rsidR="00914C41" w:rsidRPr="000564E1">
        <w:rPr>
          <w:sz w:val="22"/>
          <w:szCs w:val="22"/>
        </w:rPr>
        <w:t>with 46 still failing to score any points on the related indicators.</w:t>
      </w:r>
    </w:p>
    <w:p w14:paraId="73ABE1C0" w14:textId="02D2586C" w:rsidR="000E39B4" w:rsidRPr="000564E1" w:rsidRDefault="00FC1152" w:rsidP="00FF4C49">
      <w:pPr>
        <w:spacing w:after="160" w:line="256" w:lineRule="auto"/>
        <w:jc w:val="both"/>
        <w:rPr>
          <w:rFonts w:cstheme="minorHAnsi"/>
          <w:b/>
          <w:i/>
          <w:sz w:val="22"/>
          <w:szCs w:val="22"/>
        </w:rPr>
      </w:pPr>
      <w:r w:rsidRPr="000564E1">
        <w:rPr>
          <w:rFonts w:cstheme="minorHAnsi"/>
          <w:sz w:val="22"/>
          <w:szCs w:val="22"/>
        </w:rPr>
        <w:lastRenderedPageBreak/>
        <w:t>Talya Swissa, CHRB Engagement Manager at the WB</w:t>
      </w:r>
      <w:r w:rsidR="00D873A1" w:rsidRPr="000564E1">
        <w:rPr>
          <w:rFonts w:cstheme="minorHAnsi"/>
          <w:sz w:val="22"/>
          <w:szCs w:val="22"/>
        </w:rPr>
        <w:t>A</w:t>
      </w:r>
      <w:r w:rsidRPr="000564E1">
        <w:rPr>
          <w:rFonts w:cstheme="minorHAnsi"/>
          <w:sz w:val="22"/>
          <w:szCs w:val="22"/>
        </w:rPr>
        <w:t xml:space="preserve"> noted that</w:t>
      </w:r>
      <w:r w:rsidR="50CBB8C7" w:rsidRPr="000564E1">
        <w:rPr>
          <w:rFonts w:eastAsia="-apple-system" w:cstheme="minorHAnsi"/>
          <w:color w:val="252423"/>
          <w:sz w:val="22"/>
          <w:szCs w:val="22"/>
        </w:rPr>
        <w:t xml:space="preserve"> </w:t>
      </w:r>
      <w:r w:rsidR="50CBB8C7" w:rsidRPr="000564E1">
        <w:rPr>
          <w:rFonts w:eastAsia="-apple-system" w:cstheme="minorHAnsi"/>
          <w:b/>
          <w:i/>
          <w:color w:val="252423"/>
          <w:sz w:val="22"/>
          <w:szCs w:val="22"/>
        </w:rPr>
        <w:t xml:space="preserve">''Having robust due diligence processes in place, as well as assigning board level oversight are essential to human rights and enterprise risk management and resilience over the long term. Of the companies that improved the most on human rights due diligence, </w:t>
      </w:r>
      <w:r w:rsidR="002817CF" w:rsidRPr="000564E1">
        <w:rPr>
          <w:rFonts w:eastAsia="-apple-system" w:cstheme="minorHAnsi"/>
          <w:b/>
          <w:i/>
          <w:color w:val="252423"/>
          <w:sz w:val="22"/>
          <w:szCs w:val="22"/>
        </w:rPr>
        <w:t>three-quarters</w:t>
      </w:r>
      <w:r w:rsidR="50CBB8C7" w:rsidRPr="000564E1">
        <w:rPr>
          <w:rFonts w:eastAsia="-apple-system" w:cstheme="minorHAnsi"/>
          <w:b/>
          <w:i/>
          <w:color w:val="252423"/>
          <w:sz w:val="22"/>
          <w:szCs w:val="22"/>
        </w:rPr>
        <w:t xml:space="preserve"> have a process in place at </w:t>
      </w:r>
      <w:r w:rsidR="002817CF" w:rsidRPr="000564E1">
        <w:rPr>
          <w:rFonts w:eastAsia="-apple-system" w:cstheme="minorHAnsi"/>
          <w:b/>
          <w:i/>
          <w:color w:val="252423"/>
          <w:sz w:val="22"/>
          <w:szCs w:val="22"/>
        </w:rPr>
        <w:t xml:space="preserve">the </w:t>
      </w:r>
      <w:r w:rsidR="50CBB8C7" w:rsidRPr="000564E1">
        <w:rPr>
          <w:rFonts w:eastAsia="-apple-system" w:cstheme="minorHAnsi"/>
          <w:b/>
          <w:i/>
          <w:color w:val="252423"/>
          <w:sz w:val="22"/>
          <w:szCs w:val="22"/>
        </w:rPr>
        <w:t>board level to discuss and address human rights issues. As with previous benchmark iterations, we expect to see investors using this year’s benchmark results to better assess which companies make for sound ESG investments and engage with those who need to improve performance.’’</w:t>
      </w:r>
    </w:p>
    <w:p w14:paraId="04550380" w14:textId="4B0B65A4" w:rsidR="00D10F1B" w:rsidRPr="000564E1" w:rsidRDefault="00364BB8" w:rsidP="00FF4C49">
      <w:pPr>
        <w:spacing w:after="160" w:line="256" w:lineRule="auto"/>
        <w:jc w:val="both"/>
        <w:rPr>
          <w:sz w:val="22"/>
          <w:szCs w:val="22"/>
        </w:rPr>
      </w:pPr>
      <w:r w:rsidRPr="000564E1">
        <w:rPr>
          <w:sz w:val="22"/>
          <w:szCs w:val="22"/>
          <w:lang w:val="en-GB"/>
        </w:rPr>
        <w:t xml:space="preserve">One of the key findings of the 2022 assessment points to the need for legislation to level the playing field and expedite progress on business and human rights. </w:t>
      </w:r>
      <w:r w:rsidR="00D10F1B" w:rsidRPr="000564E1">
        <w:rPr>
          <w:sz w:val="22"/>
          <w:szCs w:val="22"/>
          <w:lang w:val="en-GB"/>
        </w:rPr>
        <w:t xml:space="preserve">Investors </w:t>
      </w:r>
      <w:r w:rsidR="00EE5FF2" w:rsidRPr="000564E1">
        <w:rPr>
          <w:sz w:val="22"/>
          <w:szCs w:val="22"/>
          <w:lang w:val="en-GB"/>
        </w:rPr>
        <w:t xml:space="preserve">have </w:t>
      </w:r>
      <w:hyperlink r:id="rId16" w:history="1">
        <w:r w:rsidR="00CF3595" w:rsidRPr="000564E1">
          <w:rPr>
            <w:rStyle w:val="Hyperlink"/>
            <w:sz w:val="22"/>
            <w:szCs w:val="22"/>
            <w:lang w:val="en-GB"/>
          </w:rPr>
          <w:t xml:space="preserve">stated </w:t>
        </w:r>
        <w:r w:rsidR="00EE5FF2" w:rsidRPr="000564E1">
          <w:rPr>
            <w:rStyle w:val="Hyperlink"/>
            <w:sz w:val="22"/>
            <w:szCs w:val="22"/>
            <w:lang w:val="en-GB"/>
          </w:rPr>
          <w:t>their support</w:t>
        </w:r>
      </w:hyperlink>
      <w:r w:rsidR="00CF3595" w:rsidRPr="000564E1">
        <w:rPr>
          <w:sz w:val="22"/>
          <w:szCs w:val="22"/>
          <w:lang w:val="en-GB"/>
        </w:rPr>
        <w:t xml:space="preserve"> for robust mandated</w:t>
      </w:r>
      <w:r w:rsidR="00D10F1B" w:rsidRPr="000564E1">
        <w:rPr>
          <w:sz w:val="22"/>
          <w:szCs w:val="22"/>
          <w:lang w:val="en-GB"/>
        </w:rPr>
        <w:t xml:space="preserve"> </w:t>
      </w:r>
      <w:r w:rsidR="00D10F1B" w:rsidRPr="000564E1">
        <w:rPr>
          <w:sz w:val="22"/>
          <w:szCs w:val="22"/>
        </w:rPr>
        <w:t xml:space="preserve">human rights </w:t>
      </w:r>
      <w:r w:rsidR="00A54912" w:rsidRPr="000564E1">
        <w:rPr>
          <w:sz w:val="22"/>
          <w:szCs w:val="22"/>
        </w:rPr>
        <w:t xml:space="preserve">and environmental </w:t>
      </w:r>
      <w:r w:rsidR="00D10F1B" w:rsidRPr="000564E1">
        <w:rPr>
          <w:sz w:val="22"/>
          <w:szCs w:val="22"/>
        </w:rPr>
        <w:t>due diligence</w:t>
      </w:r>
      <w:r w:rsidR="00C40C71" w:rsidRPr="000564E1">
        <w:rPr>
          <w:sz w:val="22"/>
          <w:szCs w:val="22"/>
        </w:rPr>
        <w:t xml:space="preserve"> in the EU</w:t>
      </w:r>
      <w:r w:rsidR="00501E54" w:rsidRPr="000564E1">
        <w:rPr>
          <w:sz w:val="22"/>
          <w:szCs w:val="22"/>
        </w:rPr>
        <w:t xml:space="preserve"> as laid out in the proposed Corporate Sustainability Due Diligence Directive (CSDDD)</w:t>
      </w:r>
      <w:r w:rsidR="00C40C71" w:rsidRPr="000564E1">
        <w:rPr>
          <w:sz w:val="22"/>
          <w:szCs w:val="22"/>
        </w:rPr>
        <w:t xml:space="preserve">, and more recently are pushing to </w:t>
      </w:r>
      <w:r w:rsidR="00AF7EB5" w:rsidRPr="000564E1">
        <w:rPr>
          <w:sz w:val="22"/>
          <w:szCs w:val="22"/>
        </w:rPr>
        <w:t>include financial institutions</w:t>
      </w:r>
      <w:r w:rsidR="00C40C71" w:rsidRPr="000564E1">
        <w:rPr>
          <w:sz w:val="22"/>
          <w:szCs w:val="22"/>
        </w:rPr>
        <w:t xml:space="preserve"> within </w:t>
      </w:r>
      <w:r w:rsidR="00F542CD" w:rsidRPr="000564E1">
        <w:rPr>
          <w:sz w:val="22"/>
          <w:szCs w:val="22"/>
        </w:rPr>
        <w:t>its</w:t>
      </w:r>
      <w:r w:rsidR="009C03AB" w:rsidRPr="000564E1">
        <w:rPr>
          <w:sz w:val="22"/>
          <w:szCs w:val="22"/>
        </w:rPr>
        <w:t xml:space="preserve"> </w:t>
      </w:r>
      <w:r w:rsidR="00D25E3F" w:rsidRPr="000564E1">
        <w:rPr>
          <w:sz w:val="22"/>
          <w:szCs w:val="22"/>
        </w:rPr>
        <w:t>scope.</w:t>
      </w:r>
    </w:p>
    <w:p w14:paraId="61BA7F4F" w14:textId="1F52FCA9" w:rsidR="00A70F07" w:rsidRPr="000564E1" w:rsidRDefault="00501E54" w:rsidP="00FF4C49">
      <w:pPr>
        <w:spacing w:after="160" w:line="256" w:lineRule="auto"/>
        <w:jc w:val="both"/>
        <w:rPr>
          <w:b/>
          <w:i/>
          <w:sz w:val="22"/>
          <w:szCs w:val="22"/>
        </w:rPr>
      </w:pPr>
      <w:r w:rsidRPr="000564E1">
        <w:rPr>
          <w:sz w:val="22"/>
          <w:szCs w:val="22"/>
        </w:rPr>
        <w:lastRenderedPageBreak/>
        <w:t xml:space="preserve">According to </w:t>
      </w:r>
      <w:r w:rsidR="00782EB8" w:rsidRPr="000564E1">
        <w:rPr>
          <w:sz w:val="22"/>
          <w:szCs w:val="22"/>
        </w:rPr>
        <w:t xml:space="preserve">Vaidehee Sachdev, Social Lead, </w:t>
      </w:r>
      <w:r w:rsidR="00AA0BBC" w:rsidRPr="000564E1">
        <w:rPr>
          <w:sz w:val="22"/>
          <w:szCs w:val="22"/>
        </w:rPr>
        <w:t>Aviva</w:t>
      </w:r>
      <w:r w:rsidR="005F57CE" w:rsidRPr="000564E1">
        <w:rPr>
          <w:sz w:val="22"/>
          <w:szCs w:val="22"/>
        </w:rPr>
        <w:t xml:space="preserve"> Investors</w:t>
      </w:r>
      <w:r w:rsidRPr="000564E1">
        <w:rPr>
          <w:sz w:val="22"/>
          <w:szCs w:val="22"/>
        </w:rPr>
        <w:t xml:space="preserve">, </w:t>
      </w:r>
      <w:r w:rsidRPr="000564E1">
        <w:rPr>
          <w:b/>
          <w:i/>
          <w:sz w:val="22"/>
          <w:szCs w:val="22"/>
        </w:rPr>
        <w:t>“</w:t>
      </w:r>
      <w:r w:rsidR="00A70F07" w:rsidRPr="000564E1">
        <w:rPr>
          <w:b/>
          <w:i/>
          <w:sz w:val="22"/>
          <w:szCs w:val="22"/>
        </w:rPr>
        <w:t>Regulatory action could provide the needed final push for companies to move more rapidly to respect the human rights of all affected stakeholders. We support the extension of the CSDDD to require robust and ongoing due diligence from both financial and non-financial companies</w:t>
      </w:r>
      <w:r w:rsidR="00CD6FEE" w:rsidRPr="000564E1">
        <w:rPr>
          <w:b/>
          <w:i/>
          <w:sz w:val="22"/>
          <w:szCs w:val="22"/>
        </w:rPr>
        <w:t>, accompanied by</w:t>
      </w:r>
      <w:r w:rsidR="00A70F07" w:rsidRPr="000564E1">
        <w:rPr>
          <w:b/>
          <w:i/>
          <w:sz w:val="22"/>
          <w:szCs w:val="22"/>
        </w:rPr>
        <w:t xml:space="preserve"> greater responsibility for directors for oversight of due diligence </w:t>
      </w:r>
      <w:r w:rsidR="00CD6FEE" w:rsidRPr="000564E1">
        <w:rPr>
          <w:b/>
          <w:i/>
          <w:sz w:val="22"/>
          <w:szCs w:val="22"/>
        </w:rPr>
        <w:t>processes</w:t>
      </w:r>
      <w:r w:rsidR="00A70F07" w:rsidRPr="000564E1">
        <w:rPr>
          <w:b/>
          <w:i/>
          <w:sz w:val="22"/>
          <w:szCs w:val="22"/>
        </w:rPr>
        <w:t xml:space="preserve">. Mandatory requirements are </w:t>
      </w:r>
      <w:r w:rsidR="00E76AFE" w:rsidRPr="000564E1">
        <w:rPr>
          <w:b/>
          <w:i/>
          <w:sz w:val="22"/>
          <w:szCs w:val="22"/>
        </w:rPr>
        <w:t>necessary</w:t>
      </w:r>
      <w:r w:rsidR="00A70F07" w:rsidRPr="000564E1">
        <w:rPr>
          <w:b/>
          <w:i/>
          <w:sz w:val="22"/>
          <w:szCs w:val="22"/>
        </w:rPr>
        <w:t xml:space="preserve"> for</w:t>
      </w:r>
      <w:r w:rsidR="003B18E7" w:rsidRPr="000564E1">
        <w:rPr>
          <w:b/>
          <w:i/>
          <w:sz w:val="22"/>
          <w:szCs w:val="22"/>
        </w:rPr>
        <w:t xml:space="preserve"> enabling</w:t>
      </w:r>
      <w:r w:rsidR="00A70F07" w:rsidRPr="000564E1">
        <w:rPr>
          <w:b/>
          <w:i/>
          <w:sz w:val="22"/>
          <w:szCs w:val="22"/>
        </w:rPr>
        <w:t xml:space="preserve"> investors to understand and effectively manage the human rights risks and impacts in their portfolios.</w:t>
      </w:r>
      <w:r w:rsidRPr="000564E1">
        <w:rPr>
          <w:b/>
          <w:i/>
          <w:sz w:val="22"/>
          <w:szCs w:val="22"/>
        </w:rPr>
        <w:t>”</w:t>
      </w:r>
    </w:p>
    <w:p w14:paraId="2AE59499" w14:textId="1FF1912A" w:rsidR="00364BB8" w:rsidRPr="000564E1" w:rsidRDefault="00364BB8" w:rsidP="00FF4C49">
      <w:pPr>
        <w:spacing w:after="160" w:line="256" w:lineRule="auto"/>
        <w:contextualSpacing/>
        <w:jc w:val="both"/>
        <w:rPr>
          <w:sz w:val="22"/>
          <w:szCs w:val="22"/>
        </w:rPr>
      </w:pPr>
      <w:r w:rsidRPr="000564E1">
        <w:rPr>
          <w:sz w:val="22"/>
          <w:szCs w:val="22"/>
        </w:rPr>
        <w:t xml:space="preserve">In May 2021, 208 global investors organized by the Investor Alliance for Human Rights representing US$5.8 trillion in assets under management sent letters to </w:t>
      </w:r>
      <w:r w:rsidR="00840AB9" w:rsidRPr="000564E1">
        <w:rPr>
          <w:sz w:val="22"/>
          <w:szCs w:val="22"/>
        </w:rPr>
        <w:t xml:space="preserve">106 </w:t>
      </w:r>
      <w:r w:rsidRPr="000564E1">
        <w:rPr>
          <w:sz w:val="22"/>
          <w:szCs w:val="22"/>
        </w:rPr>
        <w:t>companies</w:t>
      </w:r>
      <w:r w:rsidR="00421082" w:rsidRPr="000564E1">
        <w:rPr>
          <w:sz w:val="22"/>
          <w:szCs w:val="22"/>
        </w:rPr>
        <w:t>, 58 of them</w:t>
      </w:r>
      <w:r w:rsidRPr="000564E1">
        <w:rPr>
          <w:sz w:val="22"/>
          <w:szCs w:val="22"/>
        </w:rPr>
        <w:t xml:space="preserve"> in the food and agricultural products, ICT</w:t>
      </w:r>
      <w:r w:rsidR="00421082" w:rsidRPr="000564E1">
        <w:rPr>
          <w:sz w:val="22"/>
          <w:szCs w:val="22"/>
        </w:rPr>
        <w:t xml:space="preserve"> manufacturing</w:t>
      </w:r>
      <w:r w:rsidRPr="000564E1">
        <w:rPr>
          <w:sz w:val="22"/>
          <w:szCs w:val="22"/>
        </w:rPr>
        <w:t xml:space="preserve">, and automotive manufacturing </w:t>
      </w:r>
      <w:r w:rsidR="00421082" w:rsidRPr="000564E1">
        <w:rPr>
          <w:sz w:val="22"/>
          <w:szCs w:val="22"/>
        </w:rPr>
        <w:t xml:space="preserve">sectors, </w:t>
      </w:r>
      <w:r w:rsidRPr="000564E1">
        <w:rPr>
          <w:sz w:val="22"/>
          <w:szCs w:val="22"/>
        </w:rPr>
        <w:t>that scored zero on the</w:t>
      </w:r>
      <w:r w:rsidR="00997D26" w:rsidRPr="000564E1">
        <w:rPr>
          <w:sz w:val="22"/>
          <w:szCs w:val="22"/>
        </w:rPr>
        <w:t xml:space="preserve"> human rights due diligence</w:t>
      </w:r>
      <w:r w:rsidRPr="000564E1">
        <w:rPr>
          <w:sz w:val="22"/>
          <w:szCs w:val="22"/>
        </w:rPr>
        <w:t xml:space="preserve"> indicat</w:t>
      </w:r>
      <w:r w:rsidR="007D2956" w:rsidRPr="000564E1">
        <w:rPr>
          <w:sz w:val="22"/>
          <w:szCs w:val="22"/>
        </w:rPr>
        <w:t>ors in the 2020 CHRB assessment</w:t>
      </w:r>
      <w:r w:rsidRPr="000564E1">
        <w:rPr>
          <w:sz w:val="22"/>
          <w:szCs w:val="22"/>
        </w:rPr>
        <w:t xml:space="preserve"> calling for urgent improvement. </w:t>
      </w:r>
      <w:r w:rsidR="003C7352" w:rsidRPr="000564E1">
        <w:rPr>
          <w:sz w:val="22"/>
          <w:szCs w:val="22"/>
        </w:rPr>
        <w:t>As a result of investor pressure, in this most recent assessment</w:t>
      </w:r>
      <w:r w:rsidR="002817CF" w:rsidRPr="000564E1">
        <w:rPr>
          <w:sz w:val="22"/>
          <w:szCs w:val="22"/>
        </w:rPr>
        <w:t>,</w:t>
      </w:r>
      <w:r w:rsidR="003C7352" w:rsidRPr="000564E1">
        <w:rPr>
          <w:sz w:val="22"/>
          <w:szCs w:val="22"/>
        </w:rPr>
        <w:t xml:space="preserve"> the CHRB saw an increased number of compa</w:t>
      </w:r>
      <w:r w:rsidR="003C7352" w:rsidRPr="000564E1">
        <w:rPr>
          <w:sz w:val="22"/>
          <w:szCs w:val="22"/>
        </w:rPr>
        <w:lastRenderedPageBreak/>
        <w:t>nies engaging with their team during the research and assessment phase.</w:t>
      </w:r>
      <w:r w:rsidR="00E20001" w:rsidRPr="000564E1">
        <w:rPr>
          <w:sz w:val="22"/>
          <w:szCs w:val="22"/>
        </w:rPr>
        <w:t xml:space="preserve"> </w:t>
      </w:r>
    </w:p>
    <w:p w14:paraId="3E901574" w14:textId="77777777" w:rsidR="00E11AC1" w:rsidRPr="000564E1" w:rsidRDefault="00E11AC1" w:rsidP="00FF4C49">
      <w:pPr>
        <w:spacing w:after="160" w:line="256" w:lineRule="auto"/>
        <w:contextualSpacing/>
        <w:jc w:val="both"/>
        <w:rPr>
          <w:sz w:val="22"/>
          <w:szCs w:val="22"/>
        </w:rPr>
      </w:pPr>
    </w:p>
    <w:p w14:paraId="5FD8FC01" w14:textId="6CF7F861" w:rsidR="00D10F1B" w:rsidRPr="000564E1" w:rsidRDefault="00D10F1B" w:rsidP="00FF4C49">
      <w:pPr>
        <w:spacing w:after="160" w:line="256" w:lineRule="auto"/>
        <w:jc w:val="both"/>
        <w:rPr>
          <w:rFonts w:cstheme="minorHAnsi"/>
          <w:iCs/>
          <w:sz w:val="22"/>
          <w:szCs w:val="22"/>
        </w:rPr>
      </w:pPr>
      <w:r w:rsidRPr="000564E1">
        <w:rPr>
          <w:sz w:val="22"/>
          <w:szCs w:val="22"/>
        </w:rPr>
        <w:t xml:space="preserve">Another key finding points to the importance of board involvement/oversight to make progress on </w:t>
      </w:r>
      <w:r w:rsidRPr="000564E1">
        <w:rPr>
          <w:sz w:val="22"/>
          <w:szCs w:val="22"/>
        </w:rPr>
        <w:t>human rights. According to the CHRB assessment</w:t>
      </w:r>
      <w:r w:rsidR="00FF042A" w:rsidRPr="000564E1">
        <w:rPr>
          <w:sz w:val="22"/>
          <w:szCs w:val="22"/>
        </w:rPr>
        <w:t xml:space="preserve">, there is a </w:t>
      </w:r>
      <w:r w:rsidRPr="000564E1">
        <w:rPr>
          <w:rFonts w:cstheme="minorHAnsi"/>
          <w:iCs/>
          <w:sz w:val="22"/>
          <w:szCs w:val="22"/>
        </w:rPr>
        <w:t xml:space="preserve">strong positive correlation between companies' scores on assigning board responsibility for human rights and responsibility and resources for day-to-day human rights functions and overall human rights due diligence scores. </w:t>
      </w:r>
      <w:r w:rsidR="003116D5" w:rsidRPr="000564E1">
        <w:rPr>
          <w:rFonts w:cstheme="minorHAnsi"/>
          <w:iCs/>
          <w:sz w:val="22"/>
          <w:szCs w:val="22"/>
        </w:rPr>
        <w:t>O</w:t>
      </w:r>
      <w:r w:rsidRPr="000564E1">
        <w:rPr>
          <w:rFonts w:cstheme="minorHAnsi"/>
          <w:iCs/>
          <w:sz w:val="22"/>
          <w:szCs w:val="22"/>
        </w:rPr>
        <w:t>f the companies that improved the most on</w:t>
      </w:r>
      <w:r w:rsidR="003116D5" w:rsidRPr="000564E1">
        <w:rPr>
          <w:rFonts w:cstheme="minorHAnsi"/>
          <w:iCs/>
          <w:sz w:val="22"/>
          <w:szCs w:val="22"/>
        </w:rPr>
        <w:t xml:space="preserve"> due diligence</w:t>
      </w:r>
      <w:r w:rsidRPr="000564E1">
        <w:rPr>
          <w:rFonts w:cstheme="minorHAnsi"/>
          <w:iCs/>
          <w:sz w:val="22"/>
          <w:szCs w:val="22"/>
        </w:rPr>
        <w:t xml:space="preserve">, the majority (75%) have a </w:t>
      </w:r>
      <w:r w:rsidR="002817CF" w:rsidRPr="000564E1">
        <w:rPr>
          <w:rFonts w:cstheme="minorHAnsi"/>
          <w:iCs/>
          <w:sz w:val="22"/>
          <w:szCs w:val="22"/>
        </w:rPr>
        <w:t>board-level</w:t>
      </w:r>
      <w:r w:rsidR="00A26441" w:rsidRPr="000564E1">
        <w:rPr>
          <w:rFonts w:cstheme="minorHAnsi"/>
          <w:iCs/>
          <w:sz w:val="22"/>
          <w:szCs w:val="22"/>
        </w:rPr>
        <w:t xml:space="preserve"> </w:t>
      </w:r>
      <w:r w:rsidRPr="000564E1">
        <w:rPr>
          <w:rFonts w:cstheme="minorHAnsi"/>
          <w:iCs/>
          <w:sz w:val="22"/>
          <w:szCs w:val="22"/>
        </w:rPr>
        <w:t xml:space="preserve">process to discuss and address human rights issues. </w:t>
      </w:r>
    </w:p>
    <w:p w14:paraId="16612393" w14:textId="355DAC05" w:rsidR="00FC1152" w:rsidRPr="000564E1" w:rsidRDefault="00FC1152" w:rsidP="00FF4C49">
      <w:pPr>
        <w:spacing w:after="160" w:line="256" w:lineRule="auto"/>
        <w:jc w:val="both"/>
        <w:rPr>
          <w:b/>
          <w:i/>
          <w:sz w:val="22"/>
          <w:szCs w:val="22"/>
        </w:rPr>
      </w:pPr>
      <w:r w:rsidRPr="000564E1">
        <w:rPr>
          <w:sz w:val="22"/>
          <w:szCs w:val="22"/>
        </w:rPr>
        <w:t>Magdalena Kettis, Active Ownership Director at Norde</w:t>
      </w:r>
      <w:r w:rsidR="00A13DD3">
        <w:rPr>
          <w:sz w:val="22"/>
          <w:szCs w:val="22"/>
        </w:rPr>
        <w:t>a Asset Management remarked,</w:t>
      </w:r>
      <w:r w:rsidRPr="000564E1">
        <w:rPr>
          <w:sz w:val="22"/>
          <w:szCs w:val="22"/>
        </w:rPr>
        <w:t xml:space="preserve"> </w:t>
      </w:r>
      <w:r w:rsidRPr="000564E1">
        <w:rPr>
          <w:b/>
          <w:i/>
          <w:sz w:val="22"/>
          <w:szCs w:val="22"/>
        </w:rPr>
        <w:t>“As investors, we believe that proper management of ESG risks and opportunities is built from the top. The results show how important strong board overs</w:t>
      </w:r>
      <w:r w:rsidR="00FF4C49" w:rsidRPr="000564E1">
        <w:rPr>
          <w:b/>
          <w:i/>
          <w:sz w:val="22"/>
          <w:szCs w:val="22"/>
        </w:rPr>
        <w:t>ight of human rights risks is.”</w:t>
      </w:r>
    </w:p>
    <w:p w14:paraId="5854433E" w14:textId="4F8CFAE4" w:rsidR="00DD514A" w:rsidRPr="000564E1" w:rsidRDefault="00DD514A" w:rsidP="00FF4C49">
      <w:pPr>
        <w:jc w:val="both"/>
        <w:rPr>
          <w:rFonts w:cstheme="minorHAnsi"/>
          <w:sz w:val="22"/>
          <w:szCs w:val="22"/>
        </w:rPr>
      </w:pPr>
      <w:r w:rsidRPr="000564E1">
        <w:rPr>
          <w:rFonts w:cstheme="minorHAnsi"/>
          <w:sz w:val="22"/>
          <w:szCs w:val="22"/>
        </w:rPr>
        <w:lastRenderedPageBreak/>
        <w:t>The need for stakeholder engagement throughout all stages of businesses’ operations was also called out as a key finding in the assessment.</w:t>
      </w:r>
      <w:r w:rsidRPr="000564E1">
        <w:rPr>
          <w:rStyle w:val="CommentReference"/>
          <w:rFonts w:cstheme="minorHAnsi"/>
          <w:sz w:val="22"/>
          <w:szCs w:val="22"/>
        </w:rPr>
        <w:t xml:space="preserve"> While </w:t>
      </w:r>
      <w:r w:rsidRPr="000564E1">
        <w:rPr>
          <w:rFonts w:eastAsia="Segoe UI" w:cstheme="minorHAnsi"/>
          <w:color w:val="333333"/>
          <w:sz w:val="22"/>
          <w:szCs w:val="22"/>
        </w:rPr>
        <w:t>66% of companies committed to engaging with stakeholders on human rights in 2020, this year the CHRB found that 71%</w:t>
      </w:r>
      <w:r w:rsidRPr="000564E1">
        <w:rPr>
          <w:rFonts w:eastAsia="Segoe UI" w:cstheme="minorHAnsi"/>
          <w:sz w:val="22"/>
          <w:szCs w:val="22"/>
        </w:rPr>
        <w:t xml:space="preserve"> </w:t>
      </w:r>
      <w:r w:rsidRPr="000564E1">
        <w:rPr>
          <w:rFonts w:cstheme="minorHAnsi"/>
          <w:sz w:val="22"/>
          <w:szCs w:val="22"/>
        </w:rPr>
        <w:t>of companies scored</w:t>
      </w:r>
      <w:r w:rsidR="00E11AC1" w:rsidRPr="000564E1">
        <w:rPr>
          <w:rFonts w:cstheme="minorHAnsi"/>
          <w:sz w:val="22"/>
          <w:szCs w:val="22"/>
        </w:rPr>
        <w:t xml:space="preserve"> zero</w:t>
      </w:r>
      <w:r w:rsidRPr="000564E1">
        <w:rPr>
          <w:rFonts w:cstheme="minorHAnsi"/>
          <w:sz w:val="22"/>
          <w:szCs w:val="22"/>
        </w:rPr>
        <w:t xml:space="preserve"> on their approach to engaging with affected stakeholders on a regular basis. </w:t>
      </w:r>
    </w:p>
    <w:p w14:paraId="346E9A9B" w14:textId="4061E2EA" w:rsidR="00714AC8" w:rsidRPr="000564E1" w:rsidRDefault="00714AC8" w:rsidP="00FF4C49">
      <w:pPr>
        <w:jc w:val="both"/>
        <w:rPr>
          <w:rFonts w:cstheme="minorHAnsi"/>
          <w:sz w:val="22"/>
          <w:szCs w:val="22"/>
          <w:highlight w:val="yellow"/>
        </w:rPr>
      </w:pPr>
    </w:p>
    <w:p w14:paraId="44BC2DFF" w14:textId="04D67418" w:rsidR="00E11AC1" w:rsidRPr="000564E1" w:rsidRDefault="008F74F8" w:rsidP="00FF4C49">
      <w:pPr>
        <w:jc w:val="both"/>
        <w:rPr>
          <w:rFonts w:cstheme="minorHAnsi"/>
          <w:b/>
          <w:i/>
          <w:sz w:val="22"/>
          <w:szCs w:val="22"/>
        </w:rPr>
      </w:pPr>
      <w:r w:rsidRPr="000564E1">
        <w:rPr>
          <w:rFonts w:cstheme="minorHAnsi"/>
          <w:sz w:val="22"/>
          <w:szCs w:val="22"/>
        </w:rPr>
        <w:t xml:space="preserve">Investor Alliance Associate Director Rebecca DeWinter-Schmitt welcomed the </w:t>
      </w:r>
      <w:r w:rsidR="0029531C" w:rsidRPr="000564E1">
        <w:rPr>
          <w:rFonts w:cstheme="minorHAnsi"/>
          <w:sz w:val="22"/>
          <w:szCs w:val="22"/>
        </w:rPr>
        <w:t>2022 CHRB report and noted</w:t>
      </w:r>
      <w:r w:rsidR="00A13DD3">
        <w:rPr>
          <w:rFonts w:cstheme="minorHAnsi"/>
          <w:sz w:val="22"/>
          <w:szCs w:val="22"/>
        </w:rPr>
        <w:t>, “</w:t>
      </w:r>
      <w:r w:rsidR="00194EB4" w:rsidRPr="000564E1">
        <w:rPr>
          <w:rFonts w:cstheme="minorHAnsi"/>
          <w:b/>
          <w:i/>
          <w:sz w:val="22"/>
          <w:szCs w:val="22"/>
        </w:rPr>
        <w:t>I</w:t>
      </w:r>
      <w:r w:rsidR="0029531C" w:rsidRPr="000564E1">
        <w:rPr>
          <w:rFonts w:cstheme="minorHAnsi"/>
          <w:b/>
          <w:i/>
          <w:sz w:val="22"/>
          <w:szCs w:val="22"/>
        </w:rPr>
        <w:t xml:space="preserve">nvestors </w:t>
      </w:r>
      <w:r w:rsidR="00E11AC1" w:rsidRPr="000564E1">
        <w:rPr>
          <w:rFonts w:cstheme="minorHAnsi"/>
          <w:b/>
          <w:i/>
          <w:sz w:val="22"/>
          <w:szCs w:val="22"/>
        </w:rPr>
        <w:t xml:space="preserve">will be unpacking the findings to inform </w:t>
      </w:r>
      <w:r w:rsidR="0029531C" w:rsidRPr="000564E1">
        <w:rPr>
          <w:rFonts w:cstheme="minorHAnsi"/>
          <w:b/>
          <w:i/>
          <w:sz w:val="22"/>
          <w:szCs w:val="22"/>
        </w:rPr>
        <w:t>Alliance members’</w:t>
      </w:r>
      <w:r w:rsidR="00E11AC1" w:rsidRPr="000564E1">
        <w:rPr>
          <w:rFonts w:cstheme="minorHAnsi"/>
          <w:b/>
          <w:i/>
          <w:sz w:val="22"/>
          <w:szCs w:val="22"/>
        </w:rPr>
        <w:t xml:space="preserve"> </w:t>
      </w:r>
      <w:r w:rsidR="00141727" w:rsidRPr="000564E1">
        <w:rPr>
          <w:rFonts w:cstheme="minorHAnsi"/>
          <w:b/>
          <w:i/>
          <w:sz w:val="22"/>
          <w:szCs w:val="22"/>
        </w:rPr>
        <w:t xml:space="preserve">ongoing </w:t>
      </w:r>
      <w:r w:rsidR="00E11AC1" w:rsidRPr="000564E1">
        <w:rPr>
          <w:rFonts w:cstheme="minorHAnsi"/>
          <w:b/>
          <w:i/>
          <w:sz w:val="22"/>
          <w:szCs w:val="22"/>
        </w:rPr>
        <w:t>engagements</w:t>
      </w:r>
      <w:r w:rsidR="00714AC8" w:rsidRPr="000564E1">
        <w:rPr>
          <w:rFonts w:cstheme="minorHAnsi"/>
          <w:b/>
          <w:i/>
          <w:sz w:val="22"/>
          <w:szCs w:val="22"/>
        </w:rPr>
        <w:t>,</w:t>
      </w:r>
      <w:r w:rsidR="00E11AC1" w:rsidRPr="000564E1">
        <w:rPr>
          <w:rFonts w:cstheme="minorHAnsi"/>
          <w:b/>
          <w:i/>
          <w:sz w:val="22"/>
          <w:szCs w:val="22"/>
        </w:rPr>
        <w:t xml:space="preserve"> with particular emphasis on companies assessed to be lagging in </w:t>
      </w:r>
      <w:r w:rsidR="00465376" w:rsidRPr="000564E1">
        <w:rPr>
          <w:rFonts w:cstheme="minorHAnsi"/>
          <w:b/>
          <w:i/>
          <w:sz w:val="22"/>
          <w:szCs w:val="22"/>
        </w:rPr>
        <w:t xml:space="preserve">their human rights due diligence </w:t>
      </w:r>
      <w:r w:rsidR="00E11AC1" w:rsidRPr="000564E1">
        <w:rPr>
          <w:rFonts w:cstheme="minorHAnsi"/>
          <w:b/>
          <w:i/>
          <w:sz w:val="22"/>
          <w:szCs w:val="22"/>
        </w:rPr>
        <w:t>performance.</w:t>
      </w:r>
      <w:r w:rsidR="00465376" w:rsidRPr="000564E1">
        <w:rPr>
          <w:rFonts w:cstheme="minorHAnsi"/>
          <w:b/>
          <w:i/>
          <w:sz w:val="22"/>
          <w:szCs w:val="22"/>
        </w:rPr>
        <w:t xml:space="preserve"> Investors will explore </w:t>
      </w:r>
      <w:r w:rsidR="00CC2103" w:rsidRPr="000564E1">
        <w:rPr>
          <w:rFonts w:cstheme="minorHAnsi"/>
          <w:b/>
          <w:i/>
          <w:sz w:val="22"/>
          <w:szCs w:val="22"/>
        </w:rPr>
        <w:t xml:space="preserve">escalating their collective leverage to pressure companies </w:t>
      </w:r>
      <w:r w:rsidR="00B20E86" w:rsidRPr="000564E1">
        <w:rPr>
          <w:rFonts w:cstheme="minorHAnsi"/>
          <w:b/>
          <w:i/>
          <w:sz w:val="22"/>
          <w:szCs w:val="22"/>
        </w:rPr>
        <w:t>that repeatedly scored zero over multiple years</w:t>
      </w:r>
      <w:r w:rsidR="00EF00FA" w:rsidRPr="000564E1">
        <w:rPr>
          <w:rFonts w:cstheme="minorHAnsi"/>
          <w:b/>
          <w:i/>
          <w:sz w:val="22"/>
          <w:szCs w:val="22"/>
        </w:rPr>
        <w:t xml:space="preserve">, with some investors indicating </w:t>
      </w:r>
      <w:r w:rsidR="006234BD" w:rsidRPr="000564E1">
        <w:rPr>
          <w:rFonts w:cstheme="minorHAnsi"/>
          <w:b/>
          <w:i/>
          <w:sz w:val="22"/>
          <w:szCs w:val="22"/>
        </w:rPr>
        <w:t xml:space="preserve">that </w:t>
      </w:r>
      <w:r w:rsidR="00EF00FA" w:rsidRPr="000564E1">
        <w:rPr>
          <w:rFonts w:cstheme="minorHAnsi"/>
          <w:b/>
          <w:i/>
          <w:sz w:val="22"/>
          <w:szCs w:val="22"/>
        </w:rPr>
        <w:t xml:space="preserve">sustained poor performance will </w:t>
      </w:r>
      <w:r w:rsidR="006234BD" w:rsidRPr="000564E1">
        <w:rPr>
          <w:rFonts w:cstheme="minorHAnsi"/>
          <w:b/>
          <w:i/>
          <w:sz w:val="22"/>
          <w:szCs w:val="22"/>
        </w:rPr>
        <w:t xml:space="preserve">shape their </w:t>
      </w:r>
      <w:r w:rsidR="00141727" w:rsidRPr="000564E1">
        <w:rPr>
          <w:rFonts w:cstheme="minorHAnsi"/>
          <w:b/>
          <w:i/>
          <w:sz w:val="22"/>
          <w:szCs w:val="22"/>
        </w:rPr>
        <w:t xml:space="preserve">Board </w:t>
      </w:r>
      <w:r w:rsidR="006234BD" w:rsidRPr="000564E1">
        <w:rPr>
          <w:rFonts w:cstheme="minorHAnsi"/>
          <w:b/>
          <w:i/>
          <w:sz w:val="22"/>
          <w:szCs w:val="22"/>
        </w:rPr>
        <w:t>voting decisions.</w:t>
      </w:r>
      <w:r w:rsidR="00194EB4" w:rsidRPr="000564E1">
        <w:rPr>
          <w:rFonts w:cstheme="minorHAnsi"/>
          <w:b/>
          <w:i/>
          <w:sz w:val="22"/>
          <w:szCs w:val="22"/>
        </w:rPr>
        <w:t>”</w:t>
      </w:r>
      <w:r w:rsidR="006234BD" w:rsidRPr="000564E1">
        <w:rPr>
          <w:rFonts w:cstheme="minorHAnsi"/>
          <w:b/>
          <w:i/>
          <w:sz w:val="22"/>
          <w:szCs w:val="22"/>
        </w:rPr>
        <w:t xml:space="preserve"> </w:t>
      </w:r>
    </w:p>
    <w:p w14:paraId="231A9319" w14:textId="3D9CE931" w:rsidR="00DD514A" w:rsidRPr="000564E1" w:rsidRDefault="00DD514A" w:rsidP="00FF4C49">
      <w:pPr>
        <w:spacing w:after="160" w:line="256" w:lineRule="auto"/>
        <w:contextualSpacing/>
        <w:jc w:val="both"/>
        <w:rPr>
          <w:rFonts w:cstheme="minorHAnsi"/>
          <w:sz w:val="22"/>
          <w:szCs w:val="22"/>
          <w:lang w:val="en-GB"/>
        </w:rPr>
      </w:pPr>
    </w:p>
    <w:p w14:paraId="6C5DE4C5" w14:textId="1C49C13E" w:rsidR="00654869" w:rsidRPr="000564E1" w:rsidRDefault="00654869" w:rsidP="00025345">
      <w:pPr>
        <w:jc w:val="both"/>
        <w:rPr>
          <w:b/>
          <w:sz w:val="22"/>
          <w:szCs w:val="22"/>
        </w:rPr>
      </w:pPr>
      <w:r w:rsidRPr="000564E1">
        <w:rPr>
          <w:b/>
          <w:sz w:val="22"/>
          <w:szCs w:val="22"/>
        </w:rPr>
        <w:t>About the Investor Alliance for Human Rights</w:t>
      </w:r>
    </w:p>
    <w:p w14:paraId="691E5B6A" w14:textId="77777777" w:rsidR="00654869" w:rsidRPr="00025345" w:rsidRDefault="00654869" w:rsidP="00025345">
      <w:pPr>
        <w:jc w:val="both"/>
        <w:rPr>
          <w:b/>
          <w:sz w:val="22"/>
          <w:szCs w:val="22"/>
        </w:rPr>
      </w:pPr>
    </w:p>
    <w:p w14:paraId="4CA5E978" w14:textId="7AC54869" w:rsidR="00654869" w:rsidRPr="00025345" w:rsidRDefault="00654869" w:rsidP="00025345">
      <w:pPr>
        <w:jc w:val="both"/>
        <w:rPr>
          <w:rFonts w:eastAsia="Times New Roman" w:cs="Times New Roman"/>
          <w:sz w:val="22"/>
          <w:szCs w:val="22"/>
        </w:rPr>
      </w:pPr>
      <w:r w:rsidRPr="00025345">
        <w:rPr>
          <w:rFonts w:eastAsia="Times New Roman" w:cs="Times New Roman"/>
          <w:color w:val="000000"/>
          <w:sz w:val="22"/>
          <w:szCs w:val="22"/>
        </w:rPr>
        <w:lastRenderedPageBreak/>
        <w:t xml:space="preserve">The Investor Alliance for Human Rights is a collective action platform for responsible investment that is grounded in respect for </w:t>
      </w:r>
      <w:r w:rsidR="00283EDA">
        <w:rPr>
          <w:rFonts w:eastAsia="Times New Roman" w:cs="Times New Roman"/>
          <w:color w:val="000000"/>
          <w:sz w:val="22"/>
          <w:szCs w:val="22"/>
        </w:rPr>
        <w:t>people’s fundamental rights. The Investor Alliance’s</w:t>
      </w:r>
      <w:r w:rsidRPr="00025345">
        <w:rPr>
          <w:rFonts w:eastAsia="Times New Roman" w:cs="Times New Roman"/>
          <w:color w:val="000000"/>
          <w:sz w:val="22"/>
          <w:szCs w:val="22"/>
        </w:rPr>
        <w:t xml:space="preserve"> </w:t>
      </w:r>
      <w:r w:rsidR="00283EDA">
        <w:rPr>
          <w:rFonts w:eastAsia="Times New Roman" w:cs="Times New Roman"/>
          <w:color w:val="000000"/>
          <w:sz w:val="22"/>
          <w:szCs w:val="22"/>
        </w:rPr>
        <w:t xml:space="preserve">over 200 </w:t>
      </w:r>
      <w:r w:rsidRPr="00025345">
        <w:rPr>
          <w:rFonts w:eastAsia="Times New Roman" w:cs="Times New Roman"/>
          <w:color w:val="000000"/>
          <w:sz w:val="22"/>
          <w:szCs w:val="22"/>
        </w:rPr>
        <w:t>members include asset management firms, public pension funds, trade union funds, faith-based institutions, family funds, and endowments. Collecti</w:t>
      </w:r>
      <w:r w:rsidR="00283EDA">
        <w:rPr>
          <w:rFonts w:eastAsia="Times New Roman" w:cs="Times New Roman"/>
          <w:color w:val="000000"/>
          <w:sz w:val="22"/>
          <w:szCs w:val="22"/>
        </w:rPr>
        <w:t>vely, they represent nearly US$12</w:t>
      </w:r>
      <w:r w:rsidRPr="00025345">
        <w:rPr>
          <w:rFonts w:eastAsia="Times New Roman" w:cs="Times New Roman"/>
          <w:color w:val="000000"/>
          <w:sz w:val="22"/>
          <w:szCs w:val="22"/>
        </w:rPr>
        <w:t xml:space="preserve">T in assets under management and 19 countries. The Investor Alliance is an initiative of the </w:t>
      </w:r>
      <w:hyperlink r:id="rId17" w:history="1">
        <w:r w:rsidRPr="00DD7B97">
          <w:rPr>
            <w:rStyle w:val="Hyperlink"/>
            <w:rFonts w:eastAsia="Times New Roman" w:cs="Times New Roman"/>
            <w:sz w:val="22"/>
            <w:szCs w:val="22"/>
          </w:rPr>
          <w:t>Interfaith Center on Corporate Responsibility</w:t>
        </w:r>
      </w:hyperlink>
      <w:r w:rsidRPr="00025345">
        <w:rPr>
          <w:rFonts w:eastAsia="Times New Roman" w:cs="Times New Roman"/>
          <w:color w:val="000000"/>
          <w:sz w:val="22"/>
          <w:szCs w:val="22"/>
        </w:rPr>
        <w:t>.</w:t>
      </w:r>
    </w:p>
    <w:p w14:paraId="13FA7305" w14:textId="022B3E68" w:rsidR="00654869" w:rsidRPr="00025345" w:rsidRDefault="00654869" w:rsidP="00025345">
      <w:pPr>
        <w:jc w:val="both"/>
        <w:rPr>
          <w:rStyle w:val="Hyperlink"/>
          <w:sz w:val="22"/>
          <w:szCs w:val="22"/>
        </w:rPr>
      </w:pPr>
      <w:r w:rsidRPr="00025345">
        <w:rPr>
          <w:sz w:val="22"/>
          <w:szCs w:val="22"/>
        </w:rPr>
        <w:t xml:space="preserve">Visit our </w:t>
      </w:r>
      <w:hyperlink r:id="rId18" w:history="1">
        <w:r w:rsidRPr="00DD7B97">
          <w:rPr>
            <w:rStyle w:val="Hyperlink"/>
            <w:color w:val="0070C0"/>
            <w:sz w:val="22"/>
            <w:szCs w:val="22"/>
            <w:u w:val="none"/>
          </w:rPr>
          <w:t>website</w:t>
        </w:r>
      </w:hyperlink>
      <w:r w:rsidRPr="00DD7B97">
        <w:rPr>
          <w:sz w:val="22"/>
          <w:szCs w:val="22"/>
        </w:rPr>
        <w:t xml:space="preserve"> </w:t>
      </w:r>
      <w:r w:rsidRPr="00DD7B97">
        <w:rPr>
          <w:rStyle w:val="Hyperlink"/>
          <w:color w:val="auto"/>
          <w:sz w:val="22"/>
          <w:szCs w:val="22"/>
          <w:u w:val="none"/>
        </w:rPr>
        <w:t xml:space="preserve">and follow us on </w:t>
      </w:r>
      <w:hyperlink r:id="rId19" w:history="1">
        <w:r w:rsidRPr="00DD7B97">
          <w:rPr>
            <w:rStyle w:val="Hyperlink"/>
            <w:color w:val="0070C0"/>
            <w:sz w:val="22"/>
            <w:szCs w:val="22"/>
            <w:u w:val="none"/>
          </w:rPr>
          <w:t>Twitter</w:t>
        </w:r>
      </w:hyperlink>
      <w:r w:rsidR="004B5D10">
        <w:rPr>
          <w:rStyle w:val="Hyperlink"/>
          <w:color w:val="0070C0"/>
          <w:sz w:val="22"/>
          <w:szCs w:val="22"/>
          <w:u w:val="none"/>
        </w:rPr>
        <w:t xml:space="preserve"> and </w:t>
      </w:r>
      <w:hyperlink r:id="rId20" w:history="1">
        <w:r w:rsidR="004B5D10" w:rsidRPr="00FF4C49">
          <w:rPr>
            <w:rStyle w:val="Hyperlink"/>
            <w:sz w:val="22"/>
            <w:szCs w:val="22"/>
            <w:u w:val="none"/>
          </w:rPr>
          <w:t>Linke</w:t>
        </w:r>
        <w:r w:rsidR="004B5D10" w:rsidRPr="00FF4C49">
          <w:rPr>
            <w:rStyle w:val="Hyperlink"/>
            <w:sz w:val="22"/>
            <w:szCs w:val="22"/>
            <w:u w:val="none"/>
          </w:rPr>
          <w:t>dIn</w:t>
        </w:r>
      </w:hyperlink>
      <w:r w:rsidR="00DD7B97" w:rsidRPr="00FF4C49">
        <w:rPr>
          <w:rStyle w:val="Hyperlink"/>
          <w:color w:val="auto"/>
          <w:sz w:val="22"/>
          <w:szCs w:val="22"/>
          <w:u w:val="none"/>
        </w:rPr>
        <w:t>.</w:t>
      </w:r>
    </w:p>
    <w:p w14:paraId="0A1B32CE" w14:textId="77777777" w:rsidR="00654869" w:rsidRPr="00025345" w:rsidRDefault="00654869" w:rsidP="00025345">
      <w:pPr>
        <w:jc w:val="both"/>
        <w:rPr>
          <w:sz w:val="22"/>
          <w:szCs w:val="22"/>
        </w:rPr>
      </w:pPr>
    </w:p>
    <w:p w14:paraId="5078ADDA" w14:textId="77777777" w:rsidR="00654869" w:rsidRPr="00025345" w:rsidRDefault="00654869" w:rsidP="00025345">
      <w:pPr>
        <w:jc w:val="both"/>
        <w:rPr>
          <w:rFonts w:eastAsia="Calibri" w:cs="Times New Roman"/>
          <w:sz w:val="22"/>
          <w:szCs w:val="22"/>
        </w:rPr>
      </w:pPr>
      <w:r w:rsidRPr="00025345">
        <w:rPr>
          <w:rFonts w:eastAsia="Calibri" w:cs="Times New Roman"/>
          <w:sz w:val="22"/>
          <w:szCs w:val="22"/>
        </w:rPr>
        <w:t>###</w:t>
      </w:r>
    </w:p>
    <w:p w14:paraId="508E814C" w14:textId="77777777" w:rsidR="00674D05" w:rsidRPr="00025345" w:rsidRDefault="00674D05" w:rsidP="00025345">
      <w:pPr>
        <w:jc w:val="both"/>
        <w:rPr>
          <w:sz w:val="22"/>
          <w:szCs w:val="22"/>
        </w:rPr>
      </w:pPr>
    </w:p>
    <w:sectPr w:rsidR="00674D05" w:rsidRPr="00025345">
      <w:headerReference w:type="even" r:id="rId21"/>
      <w:headerReference w:type="default" r:id="rId22"/>
      <w:headerReference w:type="first" r:id="rId23"/>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24AA53" w16cex:dateUtc="2022-11-20T18:29:00Z"/>
  <w16cex:commentExtensible w16cex:durableId="2724AB5E" w16cex:dateUtc="2022-11-20T18:34:00Z"/>
  <w16cex:commentExtensible w16cex:durableId="2724AC79" w16cex:dateUtc="2022-11-20T18:39:00Z"/>
  <w16cex:commentExtensible w16cex:durableId="2724AE57" w16cex:dateUtc="2022-11-20T18:47:00Z"/>
  <w16cex:commentExtensible w16cex:durableId="2724B105" w16cex:dateUtc="2022-11-20T18:58:00Z"/>
  <w16cex:commentExtensible w16cex:durableId="2724B2ED" w16cex:dateUtc="2022-11-20T19:06:00Z"/>
  <w16cex:commentExtensible w16cex:durableId="2724B434" w16cex:dateUtc="2022-11-20T19:12:00Z"/>
  <w16cex:commentExtensible w16cex:durableId="2724B5E3" w16cex:dateUtc="2022-11-20T19:19:00Z"/>
  <w16cex:commentExtensible w16cex:durableId="2724B62F" w16cex:dateUtc="2022-11-20T19:20:00Z"/>
  <w16cex:commentExtensible w16cex:durableId="2724B70A" w16cex:dateUtc="2022-11-20T19:24:00Z"/>
  <w16cex:commentExtensible w16cex:durableId="2725D768" w16cex:dateUtc="2022-11-21T15: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6813C76" w16cid:durableId="2724AA53"/>
  <w16cid:commentId w16cid:paraId="320795AB" w16cid:durableId="2724A6C7"/>
  <w16cid:commentId w16cid:paraId="20E0004E" w16cid:durableId="2724A6C8"/>
  <w16cid:commentId w16cid:paraId="0E39E0C3" w16cid:durableId="2724AB5E"/>
  <w16cid:commentId w16cid:paraId="5130E905" w16cid:durableId="2724A6C9"/>
  <w16cid:commentId w16cid:paraId="690E92EE" w16cid:durableId="2724AC79"/>
  <w16cid:commentId w16cid:paraId="30F904E9" w16cid:durableId="2724AE57"/>
  <w16cid:commentId w16cid:paraId="770D4C3F" w16cid:durableId="2724A6CA"/>
  <w16cid:commentId w16cid:paraId="5BD1C702" w16cid:durableId="2724B105"/>
  <w16cid:commentId w16cid:paraId="54FAFC03" w16cid:durableId="2724B2ED"/>
  <w16cid:commentId w16cid:paraId="197E6012" w16cid:durableId="2724B434"/>
  <w16cid:commentId w16cid:paraId="61DEADCB" w16cid:durableId="2724B5E3"/>
  <w16cid:commentId w16cid:paraId="2B602AED" w16cid:durableId="2724B62F"/>
  <w16cid:commentId w16cid:paraId="7F0D9121" w16cid:durableId="2724B70A"/>
  <w16cid:commentId w16cid:paraId="0D2D9669" w16cid:durableId="2725D76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7DEFBC" w14:textId="77777777" w:rsidR="00F12322" w:rsidRDefault="00F12322" w:rsidP="00C90582">
      <w:r>
        <w:separator/>
      </w:r>
    </w:p>
  </w:endnote>
  <w:endnote w:type="continuationSeparator" w:id="0">
    <w:p w14:paraId="0128714A" w14:textId="77777777" w:rsidR="00F12322" w:rsidRDefault="00F12322" w:rsidP="00C90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apple-system">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BE5745" w14:textId="77777777" w:rsidR="00F12322" w:rsidRDefault="00F12322" w:rsidP="00C90582">
      <w:r>
        <w:separator/>
      </w:r>
    </w:p>
  </w:footnote>
  <w:footnote w:type="continuationSeparator" w:id="0">
    <w:p w14:paraId="018ACE6C" w14:textId="77777777" w:rsidR="00F12322" w:rsidRDefault="00F12322" w:rsidP="00C905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AF3BC" w14:textId="7FD87A2C" w:rsidR="00C90582" w:rsidRDefault="001F0CE0">
    <w:pPr>
      <w:pStyle w:val="Header"/>
    </w:pPr>
    <w:r>
      <w:rPr>
        <w:noProof/>
      </w:rPr>
      <w:pict w14:anchorId="628AE1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10C0B" w14:textId="2ED3E086" w:rsidR="00E11AC1" w:rsidRDefault="00E11A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8B7ED" w14:textId="4E99DDA2" w:rsidR="00E11AC1" w:rsidRDefault="00E11A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008CB"/>
    <w:multiLevelType w:val="hybridMultilevel"/>
    <w:tmpl w:val="14C08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DYyNzI0MTc2NzABspV0lIJTi4sz8/NACoxqAYUv3d0sAAAA"/>
  </w:docVars>
  <w:rsids>
    <w:rsidRoot w:val="000B276D"/>
    <w:rsid w:val="00004ED3"/>
    <w:rsid w:val="00013821"/>
    <w:rsid w:val="00025345"/>
    <w:rsid w:val="00031235"/>
    <w:rsid w:val="000564E1"/>
    <w:rsid w:val="000737A6"/>
    <w:rsid w:val="00081A1D"/>
    <w:rsid w:val="00082194"/>
    <w:rsid w:val="0009192E"/>
    <w:rsid w:val="00094BB5"/>
    <w:rsid w:val="00097F37"/>
    <w:rsid w:val="000B276D"/>
    <w:rsid w:val="000C60ED"/>
    <w:rsid w:val="000E39B4"/>
    <w:rsid w:val="000E6B3B"/>
    <w:rsid w:val="000E6C26"/>
    <w:rsid w:val="000F60F2"/>
    <w:rsid w:val="00141727"/>
    <w:rsid w:val="00157997"/>
    <w:rsid w:val="00167541"/>
    <w:rsid w:val="00193E07"/>
    <w:rsid w:val="00194EB4"/>
    <w:rsid w:val="001E58BD"/>
    <w:rsid w:val="001F0CE0"/>
    <w:rsid w:val="00202F65"/>
    <w:rsid w:val="00271F89"/>
    <w:rsid w:val="002817CF"/>
    <w:rsid w:val="00283EDA"/>
    <w:rsid w:val="002903B7"/>
    <w:rsid w:val="0029531C"/>
    <w:rsid w:val="002C0CC3"/>
    <w:rsid w:val="002D00B5"/>
    <w:rsid w:val="002E340C"/>
    <w:rsid w:val="002E530D"/>
    <w:rsid w:val="002E5C1C"/>
    <w:rsid w:val="00301480"/>
    <w:rsid w:val="0030523D"/>
    <w:rsid w:val="003116D5"/>
    <w:rsid w:val="00322C05"/>
    <w:rsid w:val="00364BB8"/>
    <w:rsid w:val="003B18E7"/>
    <w:rsid w:val="003C7352"/>
    <w:rsid w:val="003E1F65"/>
    <w:rsid w:val="00421082"/>
    <w:rsid w:val="00425335"/>
    <w:rsid w:val="0044332C"/>
    <w:rsid w:val="00465376"/>
    <w:rsid w:val="00481BCB"/>
    <w:rsid w:val="00490938"/>
    <w:rsid w:val="004A47F0"/>
    <w:rsid w:val="004A6F9C"/>
    <w:rsid w:val="004B5D10"/>
    <w:rsid w:val="004D7A91"/>
    <w:rsid w:val="004E2AEC"/>
    <w:rsid w:val="0050069A"/>
    <w:rsid w:val="005009D4"/>
    <w:rsid w:val="00501E54"/>
    <w:rsid w:val="00563C05"/>
    <w:rsid w:val="00566F19"/>
    <w:rsid w:val="00572572"/>
    <w:rsid w:val="00595296"/>
    <w:rsid w:val="005C2525"/>
    <w:rsid w:val="005E58D5"/>
    <w:rsid w:val="005E7C89"/>
    <w:rsid w:val="005F508A"/>
    <w:rsid w:val="005F57CE"/>
    <w:rsid w:val="00600804"/>
    <w:rsid w:val="006234BD"/>
    <w:rsid w:val="0062C29D"/>
    <w:rsid w:val="0064191D"/>
    <w:rsid w:val="006513FB"/>
    <w:rsid w:val="00654869"/>
    <w:rsid w:val="00674D05"/>
    <w:rsid w:val="00694664"/>
    <w:rsid w:val="006B4C7C"/>
    <w:rsid w:val="00713ACE"/>
    <w:rsid w:val="00714AC8"/>
    <w:rsid w:val="00720330"/>
    <w:rsid w:val="00730E2A"/>
    <w:rsid w:val="00743048"/>
    <w:rsid w:val="00764C04"/>
    <w:rsid w:val="00775FE0"/>
    <w:rsid w:val="00782EB8"/>
    <w:rsid w:val="00791522"/>
    <w:rsid w:val="007C0EF5"/>
    <w:rsid w:val="007C16F6"/>
    <w:rsid w:val="007D2956"/>
    <w:rsid w:val="00840AB9"/>
    <w:rsid w:val="00845DD2"/>
    <w:rsid w:val="00862222"/>
    <w:rsid w:val="00863F38"/>
    <w:rsid w:val="008B5792"/>
    <w:rsid w:val="008F74F8"/>
    <w:rsid w:val="00914C41"/>
    <w:rsid w:val="009165DA"/>
    <w:rsid w:val="0092598E"/>
    <w:rsid w:val="0092699C"/>
    <w:rsid w:val="00930FA3"/>
    <w:rsid w:val="009400E8"/>
    <w:rsid w:val="009936FA"/>
    <w:rsid w:val="00993D0B"/>
    <w:rsid w:val="00997D26"/>
    <w:rsid w:val="009B14C1"/>
    <w:rsid w:val="009C03AB"/>
    <w:rsid w:val="009E2F79"/>
    <w:rsid w:val="009F2E25"/>
    <w:rsid w:val="00A0376D"/>
    <w:rsid w:val="00A13DD3"/>
    <w:rsid w:val="00A25F04"/>
    <w:rsid w:val="00A26441"/>
    <w:rsid w:val="00A4053A"/>
    <w:rsid w:val="00A504E8"/>
    <w:rsid w:val="00A542BA"/>
    <w:rsid w:val="00A54912"/>
    <w:rsid w:val="00A622A0"/>
    <w:rsid w:val="00A70F07"/>
    <w:rsid w:val="00A74E91"/>
    <w:rsid w:val="00A9465C"/>
    <w:rsid w:val="00AA0BBC"/>
    <w:rsid w:val="00AA2D8F"/>
    <w:rsid w:val="00AC332F"/>
    <w:rsid w:val="00AE7CD1"/>
    <w:rsid w:val="00AF7EB5"/>
    <w:rsid w:val="00B02BE4"/>
    <w:rsid w:val="00B20532"/>
    <w:rsid w:val="00B20E86"/>
    <w:rsid w:val="00B2102A"/>
    <w:rsid w:val="00B57A31"/>
    <w:rsid w:val="00B70B75"/>
    <w:rsid w:val="00BA060C"/>
    <w:rsid w:val="00BB3E0E"/>
    <w:rsid w:val="00BD26D3"/>
    <w:rsid w:val="00BE3996"/>
    <w:rsid w:val="00BF57A9"/>
    <w:rsid w:val="00C24268"/>
    <w:rsid w:val="00C40C71"/>
    <w:rsid w:val="00C6526C"/>
    <w:rsid w:val="00C90582"/>
    <w:rsid w:val="00CA1B20"/>
    <w:rsid w:val="00CA42F5"/>
    <w:rsid w:val="00CB461D"/>
    <w:rsid w:val="00CC2103"/>
    <w:rsid w:val="00CC7A44"/>
    <w:rsid w:val="00CD5B15"/>
    <w:rsid w:val="00CD6FEE"/>
    <w:rsid w:val="00CF3595"/>
    <w:rsid w:val="00CF4DB9"/>
    <w:rsid w:val="00D1046D"/>
    <w:rsid w:val="00D10F1B"/>
    <w:rsid w:val="00D128B4"/>
    <w:rsid w:val="00D25E3F"/>
    <w:rsid w:val="00D4320E"/>
    <w:rsid w:val="00D44771"/>
    <w:rsid w:val="00D84110"/>
    <w:rsid w:val="00D873A1"/>
    <w:rsid w:val="00DD1AF6"/>
    <w:rsid w:val="00DD32DC"/>
    <w:rsid w:val="00DD514A"/>
    <w:rsid w:val="00DD7B97"/>
    <w:rsid w:val="00E01690"/>
    <w:rsid w:val="00E06E2B"/>
    <w:rsid w:val="00E11AC1"/>
    <w:rsid w:val="00E20001"/>
    <w:rsid w:val="00E4187C"/>
    <w:rsid w:val="00E53DAF"/>
    <w:rsid w:val="00E65580"/>
    <w:rsid w:val="00E76AFE"/>
    <w:rsid w:val="00EB04B6"/>
    <w:rsid w:val="00EB4EC9"/>
    <w:rsid w:val="00EC7D8D"/>
    <w:rsid w:val="00ED56AE"/>
    <w:rsid w:val="00EE5FF2"/>
    <w:rsid w:val="00EF00FA"/>
    <w:rsid w:val="00EF43EA"/>
    <w:rsid w:val="00F0117E"/>
    <w:rsid w:val="00F12322"/>
    <w:rsid w:val="00F12608"/>
    <w:rsid w:val="00F15E96"/>
    <w:rsid w:val="00F17C23"/>
    <w:rsid w:val="00F542CD"/>
    <w:rsid w:val="00F6504A"/>
    <w:rsid w:val="00F85E39"/>
    <w:rsid w:val="00FA34D3"/>
    <w:rsid w:val="00FC1152"/>
    <w:rsid w:val="00FD6887"/>
    <w:rsid w:val="00FF042A"/>
    <w:rsid w:val="00FF4C49"/>
    <w:rsid w:val="01C5A5E4"/>
    <w:rsid w:val="0637BA51"/>
    <w:rsid w:val="07F713B6"/>
    <w:rsid w:val="136B39E1"/>
    <w:rsid w:val="1DC486ED"/>
    <w:rsid w:val="25067581"/>
    <w:rsid w:val="251CA227"/>
    <w:rsid w:val="29345E54"/>
    <w:rsid w:val="3D8DECAA"/>
    <w:rsid w:val="44291ACD"/>
    <w:rsid w:val="50CBB8C7"/>
    <w:rsid w:val="55595B9E"/>
    <w:rsid w:val="55772D01"/>
    <w:rsid w:val="71730495"/>
    <w:rsid w:val="790A99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B39FB8"/>
  <w15:chartTrackingRefBased/>
  <w15:docId w15:val="{5D6EF5FF-0628-3844-ABDA-3063F4C59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92699C"/>
  </w:style>
  <w:style w:type="character" w:styleId="CommentReference">
    <w:name w:val="annotation reference"/>
    <w:basedOn w:val="DefaultParagraphFont"/>
    <w:uiPriority w:val="99"/>
    <w:semiHidden/>
    <w:unhideWhenUsed/>
    <w:rsid w:val="004D7A91"/>
    <w:rPr>
      <w:sz w:val="16"/>
      <w:szCs w:val="16"/>
    </w:rPr>
  </w:style>
  <w:style w:type="paragraph" w:styleId="CommentText">
    <w:name w:val="annotation text"/>
    <w:basedOn w:val="Normal"/>
    <w:link w:val="CommentTextChar"/>
    <w:uiPriority w:val="99"/>
    <w:unhideWhenUsed/>
    <w:rsid w:val="004D7A91"/>
    <w:rPr>
      <w:sz w:val="20"/>
      <w:szCs w:val="20"/>
    </w:rPr>
  </w:style>
  <w:style w:type="character" w:customStyle="1" w:styleId="CommentTextChar">
    <w:name w:val="Comment Text Char"/>
    <w:basedOn w:val="DefaultParagraphFont"/>
    <w:link w:val="CommentText"/>
    <w:uiPriority w:val="99"/>
    <w:rsid w:val="004D7A91"/>
    <w:rPr>
      <w:sz w:val="20"/>
      <w:szCs w:val="20"/>
    </w:rPr>
  </w:style>
  <w:style w:type="paragraph" w:styleId="CommentSubject">
    <w:name w:val="annotation subject"/>
    <w:basedOn w:val="CommentText"/>
    <w:next w:val="CommentText"/>
    <w:link w:val="CommentSubjectChar"/>
    <w:uiPriority w:val="99"/>
    <w:semiHidden/>
    <w:unhideWhenUsed/>
    <w:rsid w:val="004D7A91"/>
    <w:rPr>
      <w:b/>
      <w:bCs/>
    </w:rPr>
  </w:style>
  <w:style w:type="character" w:customStyle="1" w:styleId="CommentSubjectChar">
    <w:name w:val="Comment Subject Char"/>
    <w:basedOn w:val="CommentTextChar"/>
    <w:link w:val="CommentSubject"/>
    <w:uiPriority w:val="99"/>
    <w:semiHidden/>
    <w:rsid w:val="004D7A91"/>
    <w:rPr>
      <w:b/>
      <w:bCs/>
      <w:sz w:val="20"/>
      <w:szCs w:val="20"/>
    </w:rPr>
  </w:style>
  <w:style w:type="character" w:styleId="Hyperlink">
    <w:name w:val="Hyperlink"/>
    <w:basedOn w:val="DefaultParagraphFont"/>
    <w:uiPriority w:val="99"/>
    <w:unhideWhenUsed/>
    <w:rsid w:val="00EB4EC9"/>
    <w:rPr>
      <w:color w:val="0563C1" w:themeColor="hyperlink"/>
      <w:u w:val="single"/>
    </w:rPr>
  </w:style>
  <w:style w:type="character" w:customStyle="1" w:styleId="UnresolvedMention1">
    <w:name w:val="Unresolved Mention1"/>
    <w:basedOn w:val="DefaultParagraphFont"/>
    <w:uiPriority w:val="99"/>
    <w:semiHidden/>
    <w:unhideWhenUsed/>
    <w:rsid w:val="00EB4EC9"/>
    <w:rPr>
      <w:color w:val="605E5C"/>
      <w:shd w:val="clear" w:color="auto" w:fill="E1DFDD"/>
    </w:rPr>
  </w:style>
  <w:style w:type="paragraph" w:styleId="BalloonText">
    <w:name w:val="Balloon Text"/>
    <w:basedOn w:val="Normal"/>
    <w:link w:val="BalloonTextChar"/>
    <w:uiPriority w:val="99"/>
    <w:semiHidden/>
    <w:unhideWhenUsed/>
    <w:rsid w:val="005E7C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C89"/>
    <w:rPr>
      <w:rFonts w:ascii="Segoe UI" w:hAnsi="Segoe UI" w:cs="Segoe UI"/>
      <w:sz w:val="18"/>
      <w:szCs w:val="18"/>
    </w:rPr>
  </w:style>
  <w:style w:type="paragraph" w:styleId="Header">
    <w:name w:val="header"/>
    <w:basedOn w:val="Normal"/>
    <w:link w:val="HeaderChar"/>
    <w:uiPriority w:val="99"/>
    <w:unhideWhenUsed/>
    <w:rsid w:val="00C90582"/>
    <w:pPr>
      <w:tabs>
        <w:tab w:val="center" w:pos="4680"/>
        <w:tab w:val="right" w:pos="9360"/>
      </w:tabs>
    </w:pPr>
  </w:style>
  <w:style w:type="character" w:customStyle="1" w:styleId="HeaderChar">
    <w:name w:val="Header Char"/>
    <w:basedOn w:val="DefaultParagraphFont"/>
    <w:link w:val="Header"/>
    <w:uiPriority w:val="99"/>
    <w:rsid w:val="00C90582"/>
  </w:style>
  <w:style w:type="paragraph" w:styleId="Footer">
    <w:name w:val="footer"/>
    <w:basedOn w:val="Normal"/>
    <w:link w:val="FooterChar"/>
    <w:uiPriority w:val="99"/>
    <w:unhideWhenUsed/>
    <w:rsid w:val="00C90582"/>
    <w:pPr>
      <w:tabs>
        <w:tab w:val="center" w:pos="4680"/>
        <w:tab w:val="right" w:pos="9360"/>
      </w:tabs>
    </w:pPr>
  </w:style>
  <w:style w:type="character" w:customStyle="1" w:styleId="FooterChar">
    <w:name w:val="Footer Char"/>
    <w:basedOn w:val="DefaultParagraphFont"/>
    <w:link w:val="Footer"/>
    <w:uiPriority w:val="99"/>
    <w:rsid w:val="00C90582"/>
  </w:style>
  <w:style w:type="character" w:styleId="FollowedHyperlink">
    <w:name w:val="FollowedHyperlink"/>
    <w:basedOn w:val="DefaultParagraphFont"/>
    <w:uiPriority w:val="99"/>
    <w:semiHidden/>
    <w:unhideWhenUsed/>
    <w:rsid w:val="00EF43EA"/>
    <w:rPr>
      <w:color w:val="954F72" w:themeColor="followedHyperlink"/>
      <w:u w:val="single"/>
    </w:rPr>
  </w:style>
  <w:style w:type="character" w:customStyle="1" w:styleId="Mention1">
    <w:name w:val="Mention1"/>
    <w:basedOn w:val="DefaultParagraphFont"/>
    <w:uiPriority w:val="99"/>
    <w:unhideWhenUsed/>
    <w:rsid w:val="006B4C7C"/>
    <w:rPr>
      <w:color w:val="2B579A"/>
      <w:shd w:val="clear" w:color="auto" w:fill="E6E6E6"/>
    </w:rPr>
  </w:style>
  <w:style w:type="paragraph" w:customStyle="1" w:styleId="BodyText1">
    <w:name w:val="Body Text1"/>
    <w:basedOn w:val="Normal"/>
    <w:qFormat/>
    <w:rsid w:val="00ED56AE"/>
    <w:pPr>
      <w:spacing w:after="160" w:line="259" w:lineRule="auto"/>
    </w:pPr>
    <w:rPr>
      <w:rFonts w:ascii="Segoe UI" w:hAnsi="Segoe UI" w:cs="Segoe UI"/>
      <w:color w:val="211D1E"/>
      <w:sz w:val="19"/>
      <w:szCs w:val="19"/>
      <w:lang w:val="en-GB"/>
    </w:rPr>
  </w:style>
  <w:style w:type="character" w:customStyle="1" w:styleId="UnresolvedMention">
    <w:name w:val="Unresolved Mention"/>
    <w:basedOn w:val="DefaultParagraphFont"/>
    <w:uiPriority w:val="99"/>
    <w:semiHidden/>
    <w:unhideWhenUsed/>
    <w:rsid w:val="006419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worldbenchmarkingalliance.org/research/the-methodology-for-the-2022-corporate-human-rights-benchmark/" TargetMode="External"/><Relationship Id="rId18" Type="http://schemas.openxmlformats.org/officeDocument/2006/relationships/hyperlink" Target="https://investorsforhumanrights.org/" TargetMode="External"/><Relationship Id="rId26"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worldbenchmarkingalliance.org/publication/chrb/" TargetMode="External"/><Relationship Id="rId17" Type="http://schemas.openxmlformats.org/officeDocument/2006/relationships/hyperlink" Target="https://www.iccr.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investorsforhumanrights.org/investor-statement-support-mandated-human-rights-and-environmental-due-diligence-european-union" TargetMode="External"/><Relationship Id="rId20" Type="http://schemas.openxmlformats.org/officeDocument/2006/relationships/hyperlink" Target="https://www.linkedin.com/company/investor-alliance-for-human-rights/?viewAsMember=tru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mcdermott@iccr.org"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worldbenchmarkingalliance.org/publication/chrb/" TargetMode="External"/><Relationship Id="rId23"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yperlink" Target="https://twitter.com/InvestForRigh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ohchr.org/documents/publications/guidingprinciplesbusinesshr_en.pdf" TargetMode="External"/><Relationship Id="rId22" Type="http://schemas.openxmlformats.org/officeDocument/2006/relationships/header" Target="header2.xml"/><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4BFE68F45B1C4F8383AFB4C1E52D9C" ma:contentTypeVersion="14" ma:contentTypeDescription="Create a new document." ma:contentTypeScope="" ma:versionID="54c2f2798470c55966fa1463c1d0e313">
  <xsd:schema xmlns:xsd="http://www.w3.org/2001/XMLSchema" xmlns:xs="http://www.w3.org/2001/XMLSchema" xmlns:p="http://schemas.microsoft.com/office/2006/metadata/properties" xmlns:ns3="b1086314-3a7e-4c22-9674-21648c61a275" xmlns:ns4="fd3ae584-6788-4fd2-ac68-369c725449c7" targetNamespace="http://schemas.microsoft.com/office/2006/metadata/properties" ma:root="true" ma:fieldsID="bc7a248490e6dc22bdb53560989719b6" ns3:_="" ns4:_="">
    <xsd:import namespace="b1086314-3a7e-4c22-9674-21648c61a275"/>
    <xsd:import namespace="fd3ae584-6788-4fd2-ac68-369c725449c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086314-3a7e-4c22-9674-21648c61a2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3ae584-6788-4fd2-ac68-369c725449c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EAC150-3715-4684-8FA1-ECC63B150B55}">
  <ds:schemaRefs>
    <ds:schemaRef ds:uri="http://schemas.openxmlformats.org/package/2006/metadata/core-properties"/>
    <ds:schemaRef ds:uri="fd3ae584-6788-4fd2-ac68-369c725449c7"/>
    <ds:schemaRef ds:uri="http://purl.org/dc/terms/"/>
    <ds:schemaRef ds:uri="http://purl.org/dc/elements/1.1/"/>
    <ds:schemaRef ds:uri="b1086314-3a7e-4c22-9674-21648c61a275"/>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93F635A8-4569-4081-BA75-7D525C886A05}">
  <ds:schemaRefs>
    <ds:schemaRef ds:uri="http://schemas.microsoft.com/sharepoint/v3/contenttype/forms"/>
  </ds:schemaRefs>
</ds:datastoreItem>
</file>

<file path=customXml/itemProps3.xml><?xml version="1.0" encoding="utf-8"?>
<ds:datastoreItem xmlns:ds="http://schemas.openxmlformats.org/officeDocument/2006/customXml" ds:itemID="{F3ABFB39-DFBB-43B6-89CF-8B0939EEDC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086314-3a7e-4c22-9674-21648c61a275"/>
    <ds:schemaRef ds:uri="fd3ae584-6788-4fd2-ac68-369c725449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1071</Words>
  <Characters>6497</Characters>
  <Application>Microsoft Office Word</Application>
  <DocSecurity>0</DocSecurity>
  <Lines>141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Meagan Barrera</dc:creator>
  <cp:keywords/>
  <dc:description/>
  <cp:lastModifiedBy>Susana McDermott</cp:lastModifiedBy>
  <cp:revision>4</cp:revision>
  <dcterms:created xsi:type="dcterms:W3CDTF">2022-11-21T20:38:00Z</dcterms:created>
  <dcterms:modified xsi:type="dcterms:W3CDTF">2022-11-21T20:46:00Z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0x010100094BFE68F45B1C4F8383AFB4C1E52D9C</vt:lpwstr>
  </property>
  <property fmtid="{D5CDD505-2E9C-101B-9397-08002B2CF9AE}" pid="3" name="GrammarlyDocumentId">
    <vt:lpwstr>640810d65feeac5322ec307148db6c2663d81caf6248e737d9f000967520fad4</vt:lpwstr>
  </property>
  <property fmtid="{D5CDD505-2E9C-101B-9397-08002B2CF9AE}" pid="4" name="MediaServiceImageTags">
    <vt:lpwstr/>
  </property>
</Properties>
</file>